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B0767">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方正小标宋_GBK" w:cs="Times New Roman"/>
          <w:sz w:val="44"/>
          <w:szCs w:val="44"/>
          <w:highlight w:val="none"/>
        </w:rPr>
      </w:pPr>
      <w:bookmarkStart w:id="2" w:name="_GoBack"/>
      <w:bookmarkEnd w:id="2"/>
      <w:r>
        <w:rPr>
          <w:rFonts w:hint="default" w:ascii="Times New Roman" w:hAnsi="Times New Roman" w:eastAsia="方正小标宋_GBK" w:cs="Times New Roman"/>
          <w:sz w:val="44"/>
          <w:szCs w:val="44"/>
          <w:highlight w:val="none"/>
        </w:rPr>
        <w:t>南通市数据局</w:t>
      </w:r>
      <w:r>
        <w:rPr>
          <w:rFonts w:hint="default" w:ascii="Times New Roman" w:hAnsi="Times New Roman" w:eastAsia="方正小标宋_GBK" w:cs="Times New Roman"/>
          <w:sz w:val="44"/>
          <w:szCs w:val="44"/>
          <w:highlight w:val="none"/>
          <w:lang w:val="en-US" w:eastAsia="zh-CN"/>
        </w:rPr>
        <w:t>“苏服办”App南通旗舰店鸿蒙适配改造项目</w:t>
      </w:r>
      <w:r>
        <w:rPr>
          <w:rFonts w:hint="default" w:ascii="Times New Roman" w:hAnsi="Times New Roman" w:eastAsia="方正小标宋_GBK" w:cs="Times New Roman"/>
          <w:sz w:val="44"/>
          <w:szCs w:val="44"/>
          <w:highlight w:val="none"/>
        </w:rPr>
        <w:t>竞争性磋商采购需求</w:t>
      </w:r>
    </w:p>
    <w:p w14:paraId="3CBE70ED">
      <w:pPr>
        <w:keepNext w:val="0"/>
        <w:keepLines w:val="0"/>
        <w:pageBreakBefore w:val="0"/>
        <w:kinsoku/>
        <w:overflowPunct/>
        <w:topLinePunct w:val="0"/>
        <w:bidi w:val="0"/>
        <w:spacing w:line="600" w:lineRule="exact"/>
        <w:ind w:firstLine="720" w:firstLineChars="225"/>
        <w:textAlignment w:val="auto"/>
        <w:rPr>
          <w:rFonts w:hint="default" w:ascii="Times New Roman" w:hAnsi="Times New Roman" w:eastAsia="方正仿宋_GBK" w:cs="Times New Roman"/>
          <w:sz w:val="32"/>
          <w:szCs w:val="32"/>
          <w:highlight w:val="none"/>
        </w:rPr>
      </w:pPr>
    </w:p>
    <w:p w14:paraId="553519E8">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方正仿宋_GBK" w:cs="Times New Roman"/>
          <w:color w:val="000000"/>
          <w:sz w:val="32"/>
          <w:szCs w:val="32"/>
          <w:lang w:val="en-US" w:eastAsia="zh-CN"/>
        </w:rPr>
      </w:pPr>
      <w:bookmarkStart w:id="0" w:name="_Toc344724549"/>
      <w:r>
        <w:rPr>
          <w:rFonts w:hint="default" w:ascii="Times New Roman" w:hAnsi="Times New Roman" w:eastAsia="黑体" w:cs="Times New Roman"/>
          <w:kern w:val="2"/>
          <w:sz w:val="32"/>
          <w:szCs w:val="32"/>
          <w:highlight w:val="none"/>
          <w:lang w:val="en-US" w:eastAsia="zh-CN" w:bidi="ar-SA"/>
        </w:rPr>
        <w:t>一、</w:t>
      </w:r>
      <w:r>
        <w:rPr>
          <w:rFonts w:hint="default" w:ascii="Times New Roman" w:hAnsi="Times New Roman" w:eastAsia="黑体" w:cs="Times New Roman"/>
          <w:sz w:val="32"/>
          <w:szCs w:val="32"/>
          <w:highlight w:val="none"/>
        </w:rPr>
        <w:t>基本情况</w:t>
      </w:r>
      <w:bookmarkStart w:id="1" w:name="_Hlk70068067"/>
    </w:p>
    <w:p w14:paraId="2CBFAD3D">
      <w:pPr>
        <w:ind w:firstLine="640" w:firstLineChars="200"/>
        <w:rPr>
          <w:rFonts w:hint="default"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通过鸿蒙端适配改造，强化“苏服办”App的技术支撑体系，推动政务平台与国产软硬件生态的深度融合，确保“苏服办”App</w:t>
      </w:r>
      <w:r>
        <w:rPr>
          <w:rFonts w:hint="default" w:ascii="Times New Roman" w:hAnsi="Times New Roman" w:eastAsia="方正仿宋_GBK" w:cs="Times New Roman"/>
          <w:kern w:val="2"/>
          <w:sz w:val="32"/>
          <w:szCs w:val="32"/>
          <w:highlight w:val="none"/>
          <w:lang w:val="en-US" w:eastAsia="zh-CN" w:bidi="ar"/>
        </w:rPr>
        <w:t>南通旗舰店</w:t>
      </w:r>
      <w:r>
        <w:rPr>
          <w:rFonts w:hint="eastAsia" w:ascii="Times New Roman" w:hAnsi="Times New Roman" w:eastAsia="方正仿宋_GBK" w:cs="Times New Roman"/>
          <w:kern w:val="2"/>
          <w:sz w:val="32"/>
          <w:szCs w:val="32"/>
          <w:highlight w:val="none"/>
          <w:lang w:val="en-US" w:eastAsia="zh-CN" w:bidi="ar"/>
        </w:rPr>
        <w:t>能够在鸿蒙系统环境下稳定运行，满足日益增长的鸿蒙用户群体需求，助力我国数字技术自主可控能力的提升。</w:t>
      </w:r>
    </w:p>
    <w:p w14:paraId="1BB6855A">
      <w:pPr>
        <w:pStyle w:val="29"/>
        <w:keepNext w:val="0"/>
        <w:keepLines w:val="0"/>
        <w:pageBreakBefore w:val="0"/>
        <w:numPr>
          <w:ilvl w:val="0"/>
          <w:numId w:val="0"/>
        </w:numPr>
        <w:tabs>
          <w:tab w:val="left" w:pos="5325"/>
        </w:tabs>
        <w:kinsoku/>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kern w:val="2"/>
          <w:sz w:val="32"/>
          <w:szCs w:val="32"/>
          <w:highlight w:val="none"/>
          <w:lang w:val="en-US" w:eastAsia="zh-CN" w:bidi="ar-SA"/>
        </w:rPr>
        <w:t>二、建设</w:t>
      </w:r>
      <w:r>
        <w:rPr>
          <w:rFonts w:hint="default" w:ascii="Times New Roman" w:hAnsi="Times New Roman" w:eastAsia="黑体" w:cs="Times New Roman"/>
          <w:sz w:val="32"/>
          <w:szCs w:val="32"/>
          <w:highlight w:val="none"/>
        </w:rPr>
        <w:t>内容</w:t>
      </w:r>
      <w:bookmarkEnd w:id="1"/>
    </w:p>
    <w:p w14:paraId="3CAA33E4">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基于江苏一体化政务服务平台多端低代码系统及移动多端平台对“苏服办”App南通市旗舰店及崇川区分站点进行鸿蒙适配改造，改造工作包含前端框架及页面改造、业务功能组件适配、鸿蒙系统原生能力适配等工作，进一步提升数据安全性与系统稳定性，确保“苏服办”APP在鸿蒙系统上高效运行。</w:t>
      </w:r>
    </w:p>
    <w:p w14:paraId="5F55E4E1">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1.功能规划</w:t>
      </w:r>
    </w:p>
    <w:p w14:paraId="7D3A70BD">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对“苏服办”App南通市旗舰店及崇川区分站点整体功能进行规划，确保障旗舰店鸿蒙端与IOS、Android双端服务内容一致。</w:t>
      </w:r>
    </w:p>
    <w:p w14:paraId="4603FD2B">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2.前端框架及页面改造</w:t>
      </w:r>
    </w:p>
    <w:p w14:paraId="221433DD">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根据省数据局《关于配合开展鸿蒙版“苏服办”APP旗舰店改造的通知》文件要求，在江苏一体化政务服务平台多端低代码平台上搭建站点和旗舰店页面，开展鸿蒙端页面兼容性适配工作，对接入对“苏服办”App南通市旗舰店及崇川区分站点的第三方能力进行集成适配，确保其与鸿蒙版的旗舰店兼容，集成原生功能或调用第三方服务以增强应用功能性和用户体验，搭建客户端开发底座以实现多设备适配，并进行性能优化以提升页面加载速度和响应效率。</w:t>
      </w:r>
    </w:p>
    <w:p w14:paraId="7C166592">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3.业务功能组件适配</w:t>
      </w:r>
    </w:p>
    <w:p w14:paraId="02438C67">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须依托复用江苏一体化政务服务平台多端低代码系统能力，能够调用平台内置的基础组件、导航组件、列表组件、选项卡组件、轮播组件，完成对“苏服办”App南通市旗舰店及崇川区分站点的鸿蒙适配改造工作。针对“苏服办”App南通市旗舰店及崇川区分站点中的静态展示、动态滚动、交互效果等自定义组件能力进行鸿蒙端适配改造。</w:t>
      </w:r>
    </w:p>
    <w:p w14:paraId="746DF05B">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4. 鸿蒙系统原生能力适配</w:t>
      </w:r>
    </w:p>
    <w:p w14:paraId="38AAC1F5">
      <w:pPr>
        <w:ind w:firstLine="640" w:firstLineChars="200"/>
        <w:rPr>
          <w:rFonts w:hint="eastAsia" w:ascii="Times New Roman" w:hAnsi="Times New Roman" w:eastAsia="方正仿宋_GBK" w:cs="Times New Roman"/>
          <w:kern w:val="2"/>
          <w:sz w:val="32"/>
          <w:szCs w:val="32"/>
          <w:highlight w:val="none"/>
          <w:lang w:val="en-US" w:eastAsia="zh-CN" w:bidi="ar"/>
        </w:rPr>
      </w:pPr>
      <w:r>
        <w:rPr>
          <w:rFonts w:hint="eastAsia" w:ascii="Times New Roman" w:hAnsi="Times New Roman" w:eastAsia="方正仿宋_GBK" w:cs="Times New Roman"/>
          <w:kern w:val="2"/>
          <w:sz w:val="32"/>
          <w:szCs w:val="32"/>
          <w:highlight w:val="none"/>
          <w:lang w:val="en-US" w:eastAsia="zh-CN" w:bidi="ar"/>
        </w:rPr>
        <w:t>为了确保“苏服办”移动端南通市旗舰店存量应用在新的应用容器中顺畅运行，需要对“苏服办”App南通市旗舰店及崇川区分站点进行适配改造工作，与搭载鸿蒙系统终端设备的录音、拍照、摄像等能力进行适配，确保对“苏服办”App南通市旗舰店及崇川区分站点中的服务应用能够在鸿蒙系统环境中正常运行，提升应用性能和用户体验。</w:t>
      </w:r>
    </w:p>
    <w:p w14:paraId="7DB67045">
      <w:pPr>
        <w:ind w:firstLine="640" w:firstLineChars="200"/>
        <w:rPr>
          <w:rFonts w:hint="default" w:ascii="Times New Roman" w:hAnsi="Times New Roman" w:eastAsia="方正仿宋_GBK" w:cs="Times New Roman"/>
          <w:sz w:val="32"/>
          <w:szCs w:val="32"/>
          <w:lang w:val="en-US" w:eastAsia="zh-CN"/>
        </w:rPr>
      </w:pPr>
    </w:p>
    <w:p w14:paraId="226A2DD3">
      <w:pPr>
        <w:tabs>
          <w:tab w:val="left" w:pos="5325"/>
        </w:tabs>
        <w:snapToGrid w:val="0"/>
        <w:spacing w:line="560" w:lineRule="exact"/>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三、建设要求</w:t>
      </w:r>
    </w:p>
    <w:p w14:paraId="3567644B">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1.交货期（服务时间）：合同签订后</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个月内完成系统开发、部署，进入试运行阶段；试运行</w:t>
      </w:r>
      <w:r>
        <w:rPr>
          <w:rFonts w:hint="eastAsia" w:ascii="Times New Roman" w:hAnsi="Times New Roman" w:eastAsia="仿宋" w:cs="Times New Roman"/>
          <w:sz w:val="32"/>
          <w:szCs w:val="32"/>
          <w:lang w:val="en-US" w:eastAsia="zh-CN"/>
        </w:rPr>
        <w:t>15天</w:t>
      </w:r>
      <w:r>
        <w:rPr>
          <w:rFonts w:hint="default" w:ascii="Times New Roman" w:hAnsi="Times New Roman" w:eastAsia="仿宋" w:cs="Times New Roman"/>
          <w:sz w:val="32"/>
          <w:szCs w:val="32"/>
        </w:rPr>
        <w:t>内完善系统，进入正式运行阶段。</w:t>
      </w:r>
    </w:p>
    <w:p w14:paraId="6251A82F">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2.交货（服务）地点：招标人指定地点。</w:t>
      </w:r>
    </w:p>
    <w:p w14:paraId="1CBCCBD0">
      <w:pPr>
        <w:widowControl/>
        <w:spacing w:line="360" w:lineRule="auto"/>
        <w:ind w:firstLine="646" w:firstLineChars="20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运维</w:t>
      </w:r>
      <w:r>
        <w:rPr>
          <w:rFonts w:hint="default" w:ascii="Times New Roman" w:hAnsi="Times New Roman" w:eastAsia="仿宋" w:cs="Times New Roman"/>
          <w:sz w:val="32"/>
          <w:szCs w:val="32"/>
        </w:rPr>
        <w:t>服务：系统验收交付之日起所有软件系统</w:t>
      </w:r>
      <w:r>
        <w:rPr>
          <w:rFonts w:hint="eastAsia" w:ascii="Times New Roman" w:hAnsi="Times New Roman" w:eastAsia="仿宋" w:cs="Times New Roman"/>
          <w:sz w:val="32"/>
          <w:szCs w:val="32"/>
          <w:lang w:val="en-US" w:eastAsia="zh-CN"/>
        </w:rPr>
        <w:t>提供</w:t>
      </w:r>
      <w:r>
        <w:rPr>
          <w:rFonts w:hint="default" w:ascii="Times New Roman" w:hAnsi="Times New Roman" w:eastAsia="仿宋" w:cs="Times New Roman"/>
          <w:sz w:val="32"/>
          <w:szCs w:val="32"/>
        </w:rPr>
        <w:t>一年免费</w:t>
      </w:r>
      <w:r>
        <w:rPr>
          <w:rFonts w:hint="eastAsia" w:ascii="Times New Roman" w:hAnsi="Times New Roman" w:eastAsia="仿宋" w:cs="Times New Roman"/>
          <w:sz w:val="32"/>
          <w:szCs w:val="32"/>
          <w:lang w:val="en-US" w:eastAsia="zh-CN"/>
        </w:rPr>
        <w:t>运维服务</w:t>
      </w:r>
      <w:r>
        <w:rPr>
          <w:rFonts w:hint="default" w:ascii="Times New Roman" w:hAnsi="Times New Roman" w:eastAsia="仿宋" w:cs="Times New Roman"/>
          <w:sz w:val="32"/>
          <w:szCs w:val="32"/>
        </w:rPr>
        <w:t>。</w:t>
      </w:r>
    </w:p>
    <w:p w14:paraId="6317DAD5">
      <w:pPr>
        <w:widowControl/>
        <w:spacing w:line="360" w:lineRule="auto"/>
        <w:ind w:firstLine="646" w:firstLineChars="202"/>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仿宋" w:cs="Times New Roman"/>
          <w:sz w:val="32"/>
          <w:szCs w:val="32"/>
        </w:rPr>
        <w:t>4.文档服务：供应商必须向用户提供本项目中所有产品的操作手册等产品技术手册，所提交文档的质量和完善程度将作为系统验收通过的重要依据。</w:t>
      </w:r>
    </w:p>
    <w:bookmarkEnd w:id="0"/>
    <w:p w14:paraId="55B6163F">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、合同签订</w:t>
      </w:r>
    </w:p>
    <w:p w14:paraId="1A70FBBB">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eastAsia" w:ascii="Times New Roman" w:hAnsi="Times New Roman" w:eastAsia="方正仿宋_GBK" w:cs="Times New Roman"/>
          <w:kern w:val="2"/>
          <w:sz w:val="32"/>
          <w:szCs w:val="32"/>
          <w:lang w:val="en-US" w:eastAsia="zh-CN" w:bidi="ar-SA"/>
        </w:rPr>
        <w:t>根据中标价格核算市本级、崇川区分项价格，于</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w:t>
      </w:r>
      <w:r>
        <w:rPr>
          <w:rFonts w:hint="eastAsia" w:ascii="Times New Roman" w:hAnsi="Times New Roman" w:eastAsia="方正仿宋_GBK" w:cs="Times New Roman"/>
          <w:kern w:val="2"/>
          <w:sz w:val="32"/>
          <w:szCs w:val="32"/>
          <w:lang w:val="en-US" w:eastAsia="zh-CN" w:bidi="ar-SA"/>
        </w:rPr>
        <w:t>分别签订合同。</w:t>
      </w:r>
    </w:p>
    <w:p w14:paraId="28D7F0B8">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、付款方式</w:t>
      </w:r>
    </w:p>
    <w:p w14:paraId="4E40B0E0">
      <w:pPr>
        <w:pStyle w:val="10"/>
        <w:keepNext w:val="0"/>
        <w:keepLines w:val="0"/>
        <w:pageBreakBefore w:val="0"/>
        <w:widowControl w:val="0"/>
        <w:kinsoku/>
        <w:wordWrap/>
        <w:overflowPunct/>
        <w:topLinePunct w:val="0"/>
        <w:autoSpaceDE/>
        <w:autoSpaceDN/>
        <w:bidi w:val="0"/>
        <w:adjustRightInd/>
        <w:snapToGrid/>
        <w:spacing w:after="0"/>
        <w:ind w:left="0" w:leftChars="0" w:right="0" w:righ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根据中标价格核算市级、区县分项价格，分别签订合同，</w:t>
      </w:r>
      <w:r>
        <w:rPr>
          <w:rFonts w:hint="eastAsia" w:ascii="Times New Roman" w:hAnsi="Times New Roman" w:eastAsia="方正仿宋_GBK" w:cs="Times New Roman"/>
          <w:kern w:val="2"/>
          <w:sz w:val="32"/>
          <w:szCs w:val="32"/>
          <w:highlight w:val="none"/>
          <w:lang w:val="en-US" w:eastAsia="zh-CN" w:bidi="ar"/>
        </w:rPr>
        <w:t>南通市旗舰店及崇川区分站点</w:t>
      </w:r>
      <w:r>
        <w:rPr>
          <w:rFonts w:hint="eastAsia" w:ascii="Times New Roman" w:hAnsi="Times New Roman" w:eastAsia="方正仿宋_GBK" w:cs="Times New Roman"/>
          <w:kern w:val="2"/>
          <w:sz w:val="32"/>
          <w:szCs w:val="32"/>
          <w:lang w:val="en-US" w:eastAsia="zh-CN" w:bidi="ar-SA"/>
        </w:rPr>
        <w:t>适配完成后分别支付市级及崇川区合同价款的80%，</w:t>
      </w:r>
      <w:r>
        <w:rPr>
          <w:rFonts w:hint="default" w:ascii="Times New Roman" w:hAnsi="Times New Roman" w:eastAsia="方正仿宋_GBK" w:cs="Times New Roman"/>
          <w:kern w:val="2"/>
          <w:sz w:val="32"/>
          <w:szCs w:val="32"/>
          <w:lang w:val="en-US" w:eastAsia="zh-CN" w:bidi="ar-SA"/>
        </w:rPr>
        <w:t>余款</w:t>
      </w:r>
      <w:r>
        <w:rPr>
          <w:rFonts w:hint="eastAsia" w:ascii="Times New Roman" w:hAnsi="Times New Roman" w:eastAsia="方正仿宋_GBK" w:cs="Times New Roman"/>
          <w:kern w:val="2"/>
          <w:sz w:val="32"/>
          <w:szCs w:val="32"/>
          <w:lang w:val="en-US" w:eastAsia="zh-CN" w:bidi="ar-SA"/>
        </w:rPr>
        <w:t>20</w:t>
      </w:r>
      <w:r>
        <w:rPr>
          <w:rFonts w:hint="default" w:ascii="Times New Roman" w:hAnsi="Times New Roman" w:eastAsia="方正仿宋_GBK" w:cs="Times New Roman"/>
          <w:kern w:val="2"/>
          <w:sz w:val="32"/>
          <w:szCs w:val="32"/>
          <w:lang w:val="en-US" w:eastAsia="zh-CN" w:bidi="ar-SA"/>
        </w:rPr>
        <w:t>%于项目</w:t>
      </w:r>
      <w:r>
        <w:rPr>
          <w:rFonts w:hint="eastAsia" w:ascii="Times New Roman" w:hAnsi="Times New Roman" w:eastAsia="方正仿宋_GBK" w:cs="Times New Roman"/>
          <w:kern w:val="2"/>
          <w:sz w:val="32"/>
          <w:szCs w:val="32"/>
          <w:lang w:val="en-US" w:eastAsia="zh-CN" w:bidi="ar-SA"/>
        </w:rPr>
        <w:t>一年</w:t>
      </w:r>
      <w:r>
        <w:rPr>
          <w:rFonts w:hint="default" w:ascii="Times New Roman" w:hAnsi="Times New Roman" w:eastAsia="方正仿宋_GBK" w:cs="Times New Roman"/>
          <w:kern w:val="2"/>
          <w:sz w:val="32"/>
          <w:szCs w:val="32"/>
          <w:lang w:val="en-US" w:eastAsia="zh-CN" w:bidi="ar-SA"/>
        </w:rPr>
        <w:t>免费运维服务期满通过绩效评价后</w:t>
      </w:r>
      <w:r>
        <w:rPr>
          <w:rFonts w:hint="eastAsia" w:ascii="Times New Roman" w:hAnsi="Times New Roman" w:eastAsia="方正仿宋_GBK" w:cs="Times New Roman"/>
          <w:kern w:val="2"/>
          <w:sz w:val="32"/>
          <w:szCs w:val="32"/>
          <w:lang w:val="en-US" w:eastAsia="zh-CN" w:bidi="ar-SA"/>
        </w:rPr>
        <w:t>分别</w:t>
      </w:r>
      <w:r>
        <w:rPr>
          <w:rFonts w:hint="default" w:ascii="Times New Roman" w:hAnsi="Times New Roman" w:eastAsia="方正仿宋_GBK" w:cs="Times New Roman"/>
          <w:kern w:val="2"/>
          <w:sz w:val="32"/>
          <w:szCs w:val="32"/>
          <w:lang w:val="en-US" w:eastAsia="zh-CN" w:bidi="ar-SA"/>
        </w:rPr>
        <w:t>支付</w:t>
      </w:r>
      <w:r>
        <w:rPr>
          <w:rFonts w:hint="eastAsia" w:ascii="Times New Roman" w:hAnsi="Times New Roman" w:eastAsia="方正仿宋_GBK" w:cs="Times New Roman"/>
          <w:kern w:val="2"/>
          <w:sz w:val="32"/>
          <w:szCs w:val="32"/>
          <w:lang w:val="en-US" w:eastAsia="zh-CN" w:bidi="ar-SA"/>
        </w:rPr>
        <w:t>。</w:t>
      </w:r>
    </w:p>
    <w:p w14:paraId="3EDDE72D">
      <w:pPr>
        <w:keepNext w:val="0"/>
        <w:keepLines w:val="0"/>
        <w:pageBreakBefore w:val="0"/>
        <w:widowControl w:val="0"/>
        <w:tabs>
          <w:tab w:val="left" w:pos="5325"/>
        </w:tabs>
        <w:kinsoku/>
        <w:wordWrap/>
        <w:overflowPunct/>
        <w:topLinePunct w:val="0"/>
        <w:bidi w:val="0"/>
        <w:snapToGrid w:val="0"/>
        <w:spacing w:line="600" w:lineRule="exact"/>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、投标供应商资格要求</w:t>
      </w:r>
    </w:p>
    <w:p w14:paraId="59F84436">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1、符合《中华人民共和国政府采购法》第22条规定；</w:t>
      </w:r>
    </w:p>
    <w:p w14:paraId="4FCCE0D8">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zh-CN" w:eastAsia="zh-CN" w:bidi="ar-SA"/>
        </w:rPr>
        <w:t>2、具有合法经营资格并能承担完全民事责任的独立法人；</w:t>
      </w:r>
    </w:p>
    <w:p w14:paraId="359DEB3F">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zh-CN"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zh-CN" w:eastAsia="zh-CN" w:bidi="ar-SA"/>
        </w:rPr>
        <w:t>未被“信用中国”网站列入失信被执行人、重大税收违法案件当事人名单、政府采购严重失信行为记录名单；</w:t>
      </w:r>
    </w:p>
    <w:p w14:paraId="6C6DE9F0">
      <w:pPr>
        <w:pStyle w:val="29"/>
        <w:keepNext w:val="0"/>
        <w:keepLines w:val="0"/>
        <w:pageBreakBefore w:val="0"/>
        <w:widowControl w:val="0"/>
        <w:kinsoku/>
        <w:wordWrap/>
        <w:overflowPunct/>
        <w:topLinePunct w:val="0"/>
        <w:autoSpaceDE w:val="0"/>
        <w:autoSpaceDN w:val="0"/>
        <w:bidi w:val="0"/>
        <w:adjustRightInd w:val="0"/>
        <w:snapToGrid w:val="0"/>
        <w:spacing w:line="600" w:lineRule="exact"/>
        <w:ind w:firstLine="640"/>
        <w:contextualSpacing/>
        <w:jc w:val="left"/>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4、本项目不接受联合体参与投标。</w:t>
      </w:r>
    </w:p>
    <w:p w14:paraId="6A263E31">
      <w:pPr>
        <w:pStyle w:val="29"/>
        <w:keepNext w:val="0"/>
        <w:keepLines w:val="0"/>
        <w:pageBreakBefore w:val="0"/>
        <w:widowControl w:val="0"/>
        <w:tabs>
          <w:tab w:val="left" w:pos="5325"/>
        </w:tabs>
        <w:kinsoku/>
        <w:wordWrap/>
        <w:overflowPunct/>
        <w:topLinePunct w:val="0"/>
        <w:bidi w:val="0"/>
        <w:snapToGrid w:val="0"/>
        <w:spacing w:line="600" w:lineRule="exact"/>
        <w:ind w:left="0" w:leftChars="0" w:firstLine="0" w:firstLineChars="0"/>
        <w:contextualSpacing/>
        <w:textAlignment w:val="auto"/>
        <w:rPr>
          <w:rFonts w:hint="default" w:ascii="Times New Roman" w:hAnsi="Times New Roman" w:eastAsia="方正仿宋_GBK"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2"/>
          <w:sz w:val="32"/>
          <w:szCs w:val="32"/>
          <w:highlight w:val="none"/>
          <w:lang w:val="en-US" w:eastAsia="zh-CN" w:bidi="ar-SA"/>
        </w:rPr>
        <w:t>投标文件的组成</w:t>
      </w:r>
    </w:p>
    <w:p w14:paraId="30812A7A">
      <w:pPr>
        <w:keepNext w:val="0"/>
        <w:keepLines w:val="0"/>
        <w:pageBreakBefore w:val="0"/>
        <w:widowControl w:val="0"/>
        <w:kinsoku/>
        <w:wordWrap/>
        <w:overflowPunct/>
        <w:topLinePunct w:val="0"/>
        <w:bidi w:val="0"/>
        <w:snapToGrid w:val="0"/>
        <w:spacing w:line="600" w:lineRule="exact"/>
        <w:ind w:firstLine="643" w:firstLineChars="20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投标</w:t>
      </w:r>
      <w:r>
        <w:rPr>
          <w:rFonts w:hint="default" w:ascii="Times New Roman" w:hAnsi="Times New Roman" w:eastAsia="方正仿宋_GBK" w:cs="Times New Roman"/>
          <w:b/>
          <w:sz w:val="32"/>
          <w:szCs w:val="32"/>
          <w:highlight w:val="none"/>
        </w:rPr>
        <w:t>文件由商务技术响应文件、价格响应文件</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部分组成。</w:t>
      </w:r>
    </w:p>
    <w:p w14:paraId="5838E7CD">
      <w:pPr>
        <w:keepNext w:val="0"/>
        <w:keepLines w:val="0"/>
        <w:pageBreakBefore w:val="0"/>
        <w:widowControl w:val="0"/>
        <w:kinsoku/>
        <w:wordWrap/>
        <w:overflowPunct/>
        <w:topLinePunct w:val="0"/>
        <w:bidi w:val="0"/>
        <w:snapToGrid w:val="0"/>
        <w:spacing w:line="600" w:lineRule="exact"/>
        <w:ind w:firstLine="643" w:firstLineChars="200"/>
        <w:contextualSpacing/>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lang w:val="en-US" w:eastAsia="zh-CN"/>
        </w:rPr>
        <w:t>(一)</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商务技术</w:t>
      </w:r>
      <w:r>
        <w:rPr>
          <w:rFonts w:hint="default" w:ascii="Times New Roman" w:hAnsi="Times New Roman" w:eastAsia="方正仿宋_GBK" w:cs="Times New Roman"/>
          <w:b/>
          <w:sz w:val="32"/>
          <w:szCs w:val="32"/>
          <w:highlight w:val="none"/>
        </w:rPr>
        <w:t>响应文件（</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不得出现报价</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sz w:val="32"/>
          <w:szCs w:val="32"/>
          <w:highlight w:val="none"/>
        </w:rPr>
        <w:t>一正</w:t>
      </w:r>
      <w:r>
        <w:rPr>
          <w:rFonts w:hint="default" w:ascii="Times New Roman" w:hAnsi="Times New Roman" w:eastAsia="方正仿宋_GBK" w:cs="Times New Roman"/>
          <w:b/>
          <w:sz w:val="32"/>
          <w:szCs w:val="32"/>
          <w:highlight w:val="none"/>
          <w:lang w:val="en-US" w:eastAsia="zh-CN"/>
        </w:rPr>
        <w:t>两</w:t>
      </w:r>
      <w:r>
        <w:rPr>
          <w:rFonts w:hint="default" w:ascii="Times New Roman" w:hAnsi="Times New Roman" w:eastAsia="方正仿宋_GBK" w:cs="Times New Roman"/>
          <w:b/>
          <w:sz w:val="32"/>
          <w:szCs w:val="32"/>
          <w:highlight w:val="none"/>
        </w:rPr>
        <w:t>副，单独密封装订）：</w:t>
      </w:r>
    </w:p>
    <w:p w14:paraId="3B5CE08C">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14:paraId="4B9F5AB2">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营业执照复印件（加盖公章）；</w:t>
      </w:r>
    </w:p>
    <w:p w14:paraId="035AD46C">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contextualSpacing/>
        <w:jc w:val="left"/>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3、信用中国信用信息报告</w:t>
      </w:r>
      <w:r>
        <w:rPr>
          <w:rFonts w:hint="default" w:ascii="Times New Roman" w:hAnsi="Times New Roman" w:eastAsia="方正仿宋_GBK" w:cs="Times New Roman"/>
          <w:kern w:val="2"/>
          <w:sz w:val="32"/>
          <w:szCs w:val="32"/>
          <w:highlight w:val="none"/>
          <w:lang w:val="zh-CN" w:eastAsia="zh-CN" w:bidi="ar-SA"/>
        </w:rPr>
        <w:t>（加盖公章）；</w:t>
      </w:r>
    </w:p>
    <w:p w14:paraId="090DA2C5">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4、</w:t>
      </w:r>
      <w:r>
        <w:rPr>
          <w:rFonts w:hint="default" w:ascii="Times New Roman" w:hAnsi="Times New Roman" w:eastAsia="方正仿宋_GBK" w:cs="Times New Roman"/>
          <w:kern w:val="2"/>
          <w:sz w:val="32"/>
          <w:szCs w:val="32"/>
          <w:highlight w:val="none"/>
          <w:lang w:val="zh-CN" w:eastAsia="zh-CN" w:bidi="ar-SA"/>
        </w:rPr>
        <w:t>投标承诺函（</w:t>
      </w:r>
      <w:r>
        <w:rPr>
          <w:rFonts w:hint="default" w:ascii="Times New Roman" w:hAnsi="Times New Roman" w:eastAsia="方正仿宋_GBK" w:cs="Times New Roman"/>
          <w:kern w:val="2"/>
          <w:sz w:val="32"/>
          <w:szCs w:val="32"/>
          <w:highlight w:val="none"/>
          <w:lang w:val="en-US" w:eastAsia="zh-CN" w:bidi="ar-SA"/>
        </w:rPr>
        <w:t>见附件一</w:t>
      </w:r>
      <w:r>
        <w:rPr>
          <w:rFonts w:hint="default" w:ascii="Times New Roman" w:hAnsi="Times New Roman" w:eastAsia="方正仿宋_GBK" w:cs="Times New Roman"/>
          <w:kern w:val="2"/>
          <w:sz w:val="32"/>
          <w:szCs w:val="32"/>
          <w:highlight w:val="none"/>
          <w:lang w:val="zh-CN" w:eastAsia="zh-CN" w:bidi="ar-SA"/>
        </w:rPr>
        <w:t>）；</w:t>
      </w:r>
    </w:p>
    <w:p w14:paraId="0AA6A68A">
      <w:pPr>
        <w:pStyle w:val="30"/>
        <w:keepNext w:val="0"/>
        <w:keepLines w:val="0"/>
        <w:pageBreakBefore w:val="0"/>
        <w:widowControl w:val="0"/>
        <w:kinsoku/>
        <w:wordWrap/>
        <w:overflowPunct/>
        <w:topLinePunct w:val="0"/>
        <w:autoSpaceDE w:val="0"/>
        <w:autoSpaceDN w:val="0"/>
        <w:bidi w:val="0"/>
        <w:adjustRightInd w:val="0"/>
        <w:snapToGrid w:val="0"/>
        <w:spacing w:line="600" w:lineRule="exact"/>
        <w:ind w:right="-197" w:rightChars="-94" w:firstLine="64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5、响应方案，</w:t>
      </w:r>
      <w:r>
        <w:rPr>
          <w:rFonts w:hint="default" w:ascii="Times New Roman" w:hAnsi="Times New Roman" w:eastAsia="方正仿宋_GBK" w:cs="Times New Roman"/>
          <w:kern w:val="2"/>
          <w:sz w:val="32"/>
          <w:szCs w:val="32"/>
          <w:highlight w:val="none"/>
          <w:lang w:val="zh-CN" w:eastAsia="zh-CN" w:bidi="ar-SA"/>
        </w:rPr>
        <w:t>为方便评委评审，请投标人按评标办法中所涉及的事项顺序进行编制，可以补充相关材料；</w:t>
      </w:r>
    </w:p>
    <w:p w14:paraId="7D5B1E6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6</w:t>
      </w:r>
      <w:r>
        <w:rPr>
          <w:rFonts w:hint="default" w:ascii="Times New Roman" w:hAnsi="Times New Roman" w:eastAsia="方正仿宋_GBK" w:cs="Times New Roman"/>
          <w:kern w:val="2"/>
          <w:sz w:val="32"/>
          <w:szCs w:val="32"/>
          <w:highlight w:val="none"/>
          <w:lang w:val="zh-CN" w:eastAsia="zh-CN" w:bidi="ar-SA"/>
        </w:rPr>
        <w:t>、评标办法中未涉及的事项，投标人认为需要提交的其他资料。</w:t>
      </w:r>
    </w:p>
    <w:p w14:paraId="2AD4C947">
      <w:pPr>
        <w:pStyle w:val="18"/>
        <w:keepNext w:val="0"/>
        <w:keepLines w:val="0"/>
        <w:pageBreakBefore w:val="0"/>
        <w:widowControl w:val="0"/>
        <w:kinsoku/>
        <w:wordWrap/>
        <w:overflowPunct/>
        <w:topLinePunct w:val="0"/>
        <w:bidi w:val="0"/>
        <w:spacing w:after="0" w:line="600" w:lineRule="exact"/>
        <w:ind w:left="0" w:leftChars="0" w:firstLine="321" w:firstLineChars="1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价格响应文件</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单本</w:t>
      </w:r>
      <w:r>
        <w:rPr>
          <w:rFonts w:hint="default" w:ascii="Times New Roman" w:hAnsi="Times New Roman" w:eastAsia="仿宋" w:cs="Times New Roman"/>
          <w:b/>
          <w:sz w:val="32"/>
          <w:szCs w:val="32"/>
          <w:highlight w:val="none"/>
        </w:rPr>
        <w:t>单独密封装订</w:t>
      </w:r>
      <w:r>
        <w:rPr>
          <w:rFonts w:hint="default" w:ascii="Times New Roman" w:hAnsi="Times New Roman" w:eastAsia="仿宋" w:cs="Times New Roman"/>
          <w:b/>
          <w:sz w:val="32"/>
          <w:szCs w:val="32"/>
          <w:highlight w:val="none"/>
          <w:lang w:eastAsia="zh-CN"/>
        </w:rPr>
        <w:t>）</w:t>
      </w:r>
    </w:p>
    <w:p w14:paraId="3F85DF05">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zh-CN" w:eastAsia="zh-CN" w:bidi="ar-SA"/>
        </w:rPr>
        <w:t>、</w:t>
      </w:r>
      <w:r>
        <w:rPr>
          <w:rFonts w:hint="default" w:ascii="Times New Roman" w:hAnsi="Times New Roman" w:eastAsia="方正仿宋_GBK" w:cs="Times New Roman"/>
          <w:kern w:val="2"/>
          <w:sz w:val="32"/>
          <w:szCs w:val="32"/>
          <w:highlight w:val="none"/>
          <w:lang w:val="en-US" w:eastAsia="zh-CN" w:bidi="ar-SA"/>
        </w:rPr>
        <w:t>分项</w:t>
      </w:r>
      <w:r>
        <w:rPr>
          <w:rFonts w:hint="default" w:ascii="Times New Roman" w:hAnsi="Times New Roman" w:eastAsia="方正仿宋_GBK" w:cs="Times New Roman"/>
          <w:kern w:val="2"/>
          <w:sz w:val="32"/>
          <w:szCs w:val="32"/>
          <w:highlight w:val="none"/>
          <w:lang w:val="zh-CN" w:eastAsia="zh-CN" w:bidi="ar-SA"/>
        </w:rPr>
        <w:t>明细报价</w:t>
      </w:r>
      <w:r>
        <w:rPr>
          <w:rFonts w:hint="default" w:ascii="Times New Roman" w:hAnsi="Times New Roman" w:eastAsia="方正仿宋_GBK" w:cs="Times New Roman"/>
          <w:kern w:val="2"/>
          <w:sz w:val="32"/>
          <w:szCs w:val="32"/>
          <w:highlight w:val="none"/>
          <w:lang w:val="en-US" w:eastAsia="zh-CN" w:bidi="ar-SA"/>
        </w:rPr>
        <w:t>表；</w:t>
      </w:r>
    </w:p>
    <w:p w14:paraId="6109911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zh-CN" w:eastAsia="zh-CN" w:bidi="ar-SA"/>
        </w:rPr>
      </w:pPr>
      <w:r>
        <w:rPr>
          <w:rFonts w:hint="default" w:ascii="Times New Roman" w:hAnsi="Times New Roman" w:eastAsia="方正仿宋_GBK" w:cs="Times New Roman"/>
          <w:kern w:val="2"/>
          <w:sz w:val="32"/>
          <w:szCs w:val="32"/>
          <w:highlight w:val="none"/>
          <w:lang w:val="en-US" w:eastAsia="zh-CN" w:bidi="ar-SA"/>
        </w:rPr>
        <w:t>2</w:t>
      </w:r>
      <w:r>
        <w:rPr>
          <w:rFonts w:hint="default" w:ascii="Times New Roman" w:hAnsi="Times New Roman" w:eastAsia="方正仿宋_GBK" w:cs="Times New Roman"/>
          <w:kern w:val="2"/>
          <w:sz w:val="32"/>
          <w:szCs w:val="32"/>
          <w:highlight w:val="none"/>
          <w:lang w:val="zh-CN" w:eastAsia="zh-CN" w:bidi="ar-SA"/>
        </w:rPr>
        <w:t>、磋商响应报价表（见附件</w:t>
      </w:r>
      <w:r>
        <w:rPr>
          <w:rFonts w:hint="default" w:ascii="Times New Roman" w:hAnsi="Times New Roman" w:eastAsia="方正仿宋_GBK" w:cs="Times New Roman"/>
          <w:kern w:val="2"/>
          <w:sz w:val="32"/>
          <w:szCs w:val="32"/>
          <w:highlight w:val="none"/>
          <w:lang w:val="en-US" w:eastAsia="zh-CN" w:bidi="ar-SA"/>
        </w:rPr>
        <w:t>二</w:t>
      </w:r>
      <w:r>
        <w:rPr>
          <w:rFonts w:hint="default" w:ascii="Times New Roman" w:hAnsi="Times New Roman" w:eastAsia="方正仿宋_GBK" w:cs="Times New Roman"/>
          <w:kern w:val="2"/>
          <w:sz w:val="32"/>
          <w:szCs w:val="32"/>
          <w:highlight w:val="none"/>
          <w:lang w:val="zh-CN" w:eastAsia="zh-CN" w:bidi="ar-SA"/>
        </w:rPr>
        <w:t>）。</w:t>
      </w:r>
    </w:p>
    <w:p w14:paraId="210FF74F">
      <w:pPr>
        <w:pStyle w:val="18"/>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八、评分标准</w:t>
      </w:r>
    </w:p>
    <w:p w14:paraId="58010C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采用综合评分法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zh-CN" w:eastAsia="zh-CN"/>
        </w:rPr>
        <w:t>按照供应商</w:t>
      </w:r>
      <w:r>
        <w:rPr>
          <w:rFonts w:hint="default" w:ascii="Times New Roman" w:hAnsi="Times New Roman" w:eastAsia="方正仿宋_GBK" w:cs="Times New Roman"/>
          <w:sz w:val="32"/>
          <w:szCs w:val="32"/>
          <w:highlight w:val="none"/>
          <w:lang w:val="en-US" w:eastAsia="zh-CN"/>
        </w:rPr>
        <w:t>提交的</w:t>
      </w:r>
      <w:r>
        <w:rPr>
          <w:rFonts w:hint="default" w:ascii="Times New Roman" w:hAnsi="Times New Roman" w:eastAsia="方正仿宋_GBK" w:cs="Times New Roman"/>
          <w:sz w:val="32"/>
          <w:szCs w:val="32"/>
          <w:highlight w:val="none"/>
        </w:rPr>
        <w:t>响应文件和最后报价进行综合评分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最终得分最高的为第一成交候选人，在分数相同的情况下由采购人代表现场抽签确定成交候选人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若第一成交候选人弃标的，由第二成交候选人成交，依次类推。</w:t>
      </w:r>
    </w:p>
    <w:p w14:paraId="6ADF2C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商务技术部分评审结束后，再开启最后报价计算分值。总分值为100分，加分和减分因素除外。</w:t>
      </w:r>
    </w:p>
    <w:p w14:paraId="7CA73648">
      <w:pPr>
        <w:snapToGrid w:val="0"/>
        <w:spacing w:line="600" w:lineRule="exact"/>
        <w:ind w:left="2" w:firstLine="643" w:firstLineChars="200"/>
        <w:jc w:val="left"/>
        <w:rPr>
          <w:rFonts w:ascii="Times New Roman" w:hAnsi="Times New Roman" w:eastAsia="方正仿宋_GBK" w:cs="Times New Roman"/>
          <w:color w:val="000000" w:themeColor="text1"/>
          <w:sz w:val="32"/>
          <w:szCs w:val="32"/>
          <w:lang w:val="zh-CN"/>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商务技术分</w:t>
      </w:r>
      <w:r>
        <w:rPr>
          <w:rFonts w:ascii="Times New Roman" w:hAnsi="Times New Roman" w:eastAsia="方正仿宋_GBK" w:cs="Times New Roman"/>
          <w:color w:val="000000" w:themeColor="text1"/>
          <w:sz w:val="32"/>
          <w:szCs w:val="32"/>
          <w:lang w:val="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lang w:val="zh-CN"/>
          <w14:textFill>
            <w14:solidFill>
              <w14:schemeClr w14:val="tx1"/>
            </w14:solidFill>
          </w14:textFill>
        </w:rPr>
        <w:t>分</w:t>
      </w:r>
    </w:p>
    <w:p w14:paraId="35DA5973">
      <w:pPr>
        <w:snapToGrid w:val="0"/>
        <w:spacing w:line="600" w:lineRule="exact"/>
        <w:contextualSpacing/>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各投标人得分为评委会成员评分的算术平均分，分值保留小数点后两位。</w:t>
      </w:r>
    </w:p>
    <w:tbl>
      <w:tblPr>
        <w:tblStyle w:val="19"/>
        <w:tblW w:w="9667" w:type="dxa"/>
        <w:jc w:val="center"/>
        <w:tblLayout w:type="autofit"/>
        <w:tblCellMar>
          <w:top w:w="0" w:type="dxa"/>
          <w:left w:w="108" w:type="dxa"/>
          <w:bottom w:w="0" w:type="dxa"/>
          <w:right w:w="108" w:type="dxa"/>
        </w:tblCellMar>
      </w:tblPr>
      <w:tblGrid>
        <w:gridCol w:w="1202"/>
        <w:gridCol w:w="1500"/>
        <w:gridCol w:w="6965"/>
      </w:tblGrid>
      <w:tr w14:paraId="303F1F60">
        <w:tblPrEx>
          <w:tblCellMar>
            <w:top w:w="0" w:type="dxa"/>
            <w:left w:w="108" w:type="dxa"/>
            <w:bottom w:w="0" w:type="dxa"/>
            <w:right w:w="108" w:type="dxa"/>
          </w:tblCellMar>
        </w:tblPrEx>
        <w:trPr>
          <w:trHeight w:val="280" w:hRule="atLeast"/>
          <w:jc w:val="center"/>
        </w:trPr>
        <w:tc>
          <w:tcPr>
            <w:tcW w:w="2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9380">
            <w:pPr>
              <w:widowControl/>
              <w:spacing w:line="360" w:lineRule="auto"/>
              <w:jc w:val="center"/>
              <w:textAlignment w:val="center"/>
              <w:rPr>
                <w:rFonts w:hint="eastAsia"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评分项目</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914B">
            <w:pPr>
              <w:widowControl/>
              <w:spacing w:line="360" w:lineRule="auto"/>
              <w:jc w:val="center"/>
              <w:textAlignment w:val="center"/>
              <w:rPr>
                <w:rFonts w:hint="eastAsia"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评分标准</w:t>
            </w:r>
          </w:p>
        </w:tc>
      </w:tr>
      <w:tr w14:paraId="642F9AA2">
        <w:tblPrEx>
          <w:tblCellMar>
            <w:top w:w="0" w:type="dxa"/>
            <w:left w:w="108" w:type="dxa"/>
            <w:bottom w:w="0" w:type="dxa"/>
            <w:right w:w="108" w:type="dxa"/>
          </w:tblCellMar>
        </w:tblPrEx>
        <w:trPr>
          <w:trHeight w:val="90" w:hRule="atLeast"/>
          <w:jc w:val="center"/>
        </w:trPr>
        <w:tc>
          <w:tcPr>
            <w:tcW w:w="1202" w:type="dxa"/>
            <w:vMerge w:val="restart"/>
            <w:tcBorders>
              <w:top w:val="single" w:color="000000" w:sz="4" w:space="0"/>
              <w:left w:val="single" w:color="000000" w:sz="4" w:space="0"/>
              <w:right w:val="single" w:color="000000" w:sz="4" w:space="0"/>
            </w:tcBorders>
            <w:shd w:val="clear" w:color="auto" w:fill="auto"/>
            <w:vAlign w:val="center"/>
          </w:tcPr>
          <w:p w14:paraId="17CC2D0C">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技术部分（60分）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4B93">
            <w:pPr>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项目需求分析理解</w:t>
            </w:r>
          </w:p>
          <w:p w14:paraId="48544A91">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FF5">
            <w:pPr>
              <w:pStyle w:val="35"/>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根据</w:t>
            </w:r>
            <w:r>
              <w:rPr>
                <w:rFonts w:hint="eastAsia" w:asciiTheme="minorEastAsia" w:hAnsiTheme="minorEastAsia" w:eastAsiaTheme="minorEastAsia"/>
                <w:szCs w:val="21"/>
              </w:rPr>
              <w:t>磋商供应商</w:t>
            </w:r>
            <w:r>
              <w:rPr>
                <w:rFonts w:hint="eastAsia" w:cs="宋体" w:asciiTheme="minorEastAsia" w:hAnsiTheme="minorEastAsia" w:eastAsiaTheme="minorEastAsia"/>
                <w:color w:val="000000"/>
                <w:kern w:val="0"/>
                <w:szCs w:val="21"/>
                <w:lang w:bidi="ar"/>
              </w:rPr>
              <w:t>提供的项目需求分析方案进行综合评定打分，项目需求分析至少包含以下内容：项目背景理解、文件要求、需求分析。</w:t>
            </w:r>
          </w:p>
          <w:p w14:paraId="2D04585C">
            <w:pPr>
              <w:pStyle w:val="35"/>
              <w:numPr>
                <w:ilvl w:val="0"/>
                <w:numId w:val="3"/>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方案内容全面，分析科学深入透彻得10分；</w:t>
            </w:r>
          </w:p>
          <w:p w14:paraId="58437D7C">
            <w:pPr>
              <w:pStyle w:val="35"/>
              <w:numPr>
                <w:ilvl w:val="0"/>
                <w:numId w:val="3"/>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方案内容相对全面，分析理解一般的得6分；</w:t>
            </w:r>
          </w:p>
          <w:p w14:paraId="4C8B2464">
            <w:pPr>
              <w:pStyle w:val="35"/>
              <w:numPr>
                <w:ilvl w:val="0"/>
                <w:numId w:val="3"/>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方案在需求理解上存在偏差，需求分析简单片面的得2分；</w:t>
            </w:r>
          </w:p>
          <w:p w14:paraId="7E54D4BF">
            <w:pPr>
              <w:pStyle w:val="35"/>
              <w:numPr>
                <w:ilvl w:val="0"/>
                <w:numId w:val="3"/>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未提供不得分。</w:t>
            </w:r>
          </w:p>
        </w:tc>
      </w:tr>
      <w:tr w14:paraId="338AC676">
        <w:tblPrEx>
          <w:tblCellMar>
            <w:top w:w="0" w:type="dxa"/>
            <w:left w:w="108" w:type="dxa"/>
            <w:bottom w:w="0" w:type="dxa"/>
            <w:right w:w="108" w:type="dxa"/>
          </w:tblCellMar>
        </w:tblPrEx>
        <w:trPr>
          <w:trHeight w:val="2313" w:hRule="atLeast"/>
          <w:jc w:val="center"/>
        </w:trPr>
        <w:tc>
          <w:tcPr>
            <w:tcW w:w="1202" w:type="dxa"/>
            <w:vMerge w:val="continue"/>
            <w:tcBorders>
              <w:left w:val="single" w:color="000000" w:sz="4" w:space="0"/>
              <w:right w:val="single" w:color="000000" w:sz="4" w:space="0"/>
            </w:tcBorders>
            <w:shd w:val="clear" w:color="auto" w:fill="auto"/>
            <w:vAlign w:val="center"/>
          </w:tcPr>
          <w:p w14:paraId="67E71F67">
            <w:pPr>
              <w:widowControl/>
              <w:spacing w:line="360" w:lineRule="auto"/>
              <w:jc w:val="center"/>
              <w:textAlignment w:val="center"/>
              <w:rPr>
                <w:rFonts w:hint="eastAsia" w:cs="宋体" w:asciiTheme="minorEastAsia" w:hAnsiTheme="minorEastAsia" w:eastAsiaTheme="minorEastAsia"/>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D772">
            <w:pPr>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项目建设</w:t>
            </w:r>
            <w:r>
              <w:rPr>
                <w:rFonts w:hint="eastAsia" w:cs="宋体" w:asciiTheme="minorEastAsia" w:hAnsiTheme="minorEastAsia" w:eastAsiaTheme="minorEastAsia"/>
                <w:szCs w:val="21"/>
                <w:lang w:val="zh-CN"/>
              </w:rPr>
              <w:t>方案</w:t>
            </w:r>
          </w:p>
          <w:p w14:paraId="5BA14C3F">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14:paraId="677FC583">
            <w:pPr>
              <w:pStyle w:val="35"/>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根据</w:t>
            </w:r>
            <w:r>
              <w:rPr>
                <w:rFonts w:hint="eastAsia" w:asciiTheme="minorEastAsia" w:hAnsiTheme="minorEastAsia" w:eastAsiaTheme="minorEastAsia"/>
                <w:szCs w:val="21"/>
              </w:rPr>
              <w:t>磋商供应商</w:t>
            </w:r>
            <w:r>
              <w:rPr>
                <w:rFonts w:hint="eastAsia" w:cs="宋体" w:asciiTheme="minorEastAsia" w:hAnsiTheme="minorEastAsia" w:eastAsiaTheme="minorEastAsia"/>
                <w:color w:val="000000"/>
                <w:kern w:val="0"/>
                <w:szCs w:val="21"/>
                <w:lang w:bidi="ar"/>
              </w:rPr>
              <w:t>提供的“苏服办”App南通市旗舰店鸿蒙适配改造方案进行综合</w:t>
            </w:r>
            <w:r>
              <w:rPr>
                <w:rFonts w:hint="eastAsia" w:asciiTheme="minorEastAsia" w:hAnsiTheme="minorEastAsia" w:eastAsiaTheme="minorEastAsia"/>
                <w:kern w:val="0"/>
                <w:szCs w:val="21"/>
              </w:rPr>
              <w:t>评定打分</w:t>
            </w:r>
            <w:r>
              <w:rPr>
                <w:rFonts w:hint="eastAsia" w:cs="宋体" w:asciiTheme="minorEastAsia" w:hAnsiTheme="minorEastAsia" w:eastAsiaTheme="minorEastAsia"/>
                <w:color w:val="000000"/>
                <w:kern w:val="0"/>
                <w:szCs w:val="21"/>
                <w:lang w:bidi="ar"/>
              </w:rPr>
              <w:t>，建设方案至少包含以下内容：</w:t>
            </w:r>
            <w:r>
              <w:rPr>
                <w:rFonts w:hint="eastAsia" w:asciiTheme="minorEastAsia" w:hAnsiTheme="minorEastAsia" w:eastAsiaTheme="minorEastAsia"/>
                <w:szCs w:val="21"/>
              </w:rPr>
              <w:t>前端框架改造、业务功能组件调用、鸿蒙系统原生能力适配</w:t>
            </w:r>
            <w:r>
              <w:rPr>
                <w:rFonts w:hint="eastAsia" w:cs="宋体" w:asciiTheme="minorEastAsia" w:hAnsiTheme="minorEastAsia" w:eastAsiaTheme="minorEastAsia"/>
                <w:color w:val="000000"/>
                <w:kern w:val="0"/>
                <w:szCs w:val="21"/>
                <w:lang w:bidi="ar"/>
              </w:rPr>
              <w:t>。</w:t>
            </w:r>
          </w:p>
          <w:p w14:paraId="03CBE47B">
            <w:pPr>
              <w:pStyle w:val="29"/>
              <w:numPr>
                <w:ilvl w:val="0"/>
                <w:numId w:val="4"/>
              </w:numPr>
              <w:spacing w:line="360" w:lineRule="auto"/>
              <w:ind w:firstLineChars="0"/>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方案科学、严密、合理，描述详细且具有针对性得15分；</w:t>
            </w:r>
          </w:p>
          <w:p w14:paraId="4AAE9259">
            <w:pPr>
              <w:pStyle w:val="29"/>
              <w:numPr>
                <w:ilvl w:val="0"/>
                <w:numId w:val="4"/>
              </w:numPr>
              <w:spacing w:line="360" w:lineRule="auto"/>
              <w:ind w:firstLineChars="0"/>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方案针对性强，可行性较高、描述较为详细全面，方案基本可行的得10分；</w:t>
            </w:r>
          </w:p>
          <w:p w14:paraId="356759FA">
            <w:pPr>
              <w:pStyle w:val="29"/>
              <w:numPr>
                <w:ilvl w:val="0"/>
                <w:numId w:val="4"/>
              </w:numPr>
              <w:spacing w:line="360" w:lineRule="auto"/>
              <w:ind w:firstLineChars="0"/>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方案不够合理、描述一般得5分；</w:t>
            </w:r>
          </w:p>
          <w:p w14:paraId="666E17F6">
            <w:pPr>
              <w:pStyle w:val="29"/>
              <w:numPr>
                <w:ilvl w:val="0"/>
                <w:numId w:val="4"/>
              </w:numPr>
              <w:spacing w:line="360" w:lineRule="auto"/>
              <w:ind w:firstLineChars="0"/>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未提供不得分。</w:t>
            </w:r>
          </w:p>
        </w:tc>
      </w:tr>
      <w:tr w14:paraId="3857ADCB">
        <w:tblPrEx>
          <w:tblCellMar>
            <w:top w:w="0" w:type="dxa"/>
            <w:left w:w="108" w:type="dxa"/>
            <w:bottom w:w="0" w:type="dxa"/>
            <w:right w:w="108" w:type="dxa"/>
          </w:tblCellMar>
        </w:tblPrEx>
        <w:trPr>
          <w:trHeight w:val="1960" w:hRule="atLeast"/>
          <w:jc w:val="center"/>
        </w:trPr>
        <w:tc>
          <w:tcPr>
            <w:tcW w:w="1202" w:type="dxa"/>
            <w:vMerge w:val="continue"/>
            <w:tcBorders>
              <w:left w:val="single" w:color="000000" w:sz="4" w:space="0"/>
              <w:right w:val="single" w:color="000000" w:sz="4" w:space="0"/>
            </w:tcBorders>
            <w:shd w:val="clear" w:color="auto" w:fill="auto"/>
            <w:vAlign w:val="center"/>
          </w:tcPr>
          <w:p w14:paraId="622D73FB">
            <w:pPr>
              <w:widowControl/>
              <w:spacing w:line="360" w:lineRule="auto"/>
              <w:jc w:val="center"/>
              <w:rPr>
                <w:rFonts w:hint="eastAsia" w:cs="宋体" w:asciiTheme="minorEastAsia" w:hAnsiTheme="minorEastAsia" w:eastAsiaTheme="minorEastAsia"/>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0CF9">
            <w:pPr>
              <w:spacing w:line="360" w:lineRule="auto"/>
              <w:jc w:val="center"/>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项目实施方案（</w:t>
            </w:r>
            <w:r>
              <w:rPr>
                <w:rFonts w:hint="eastAsia" w:cs="宋体" w:asciiTheme="minorEastAsia" w:hAnsiTheme="minorEastAsia" w:eastAsiaTheme="minorEastAsia"/>
                <w:szCs w:val="21"/>
              </w:rPr>
              <w:t>10</w:t>
            </w:r>
            <w:r>
              <w:rPr>
                <w:rFonts w:hint="eastAsia" w:cs="宋体" w:asciiTheme="minorEastAsia" w:hAnsiTheme="minorEastAsia" w:eastAsiaTheme="minorEastAsia"/>
                <w:szCs w:val="21"/>
                <w:lang w:val="zh-CN"/>
              </w:rPr>
              <w:t>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A8FB">
            <w:pPr>
              <w:spacing w:line="360" w:lineRule="auto"/>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w:t>
            </w:r>
            <w:r>
              <w:rPr>
                <w:rFonts w:hint="eastAsia" w:asciiTheme="minorEastAsia" w:hAnsiTheme="minorEastAsia" w:eastAsiaTheme="minorEastAsia"/>
                <w:szCs w:val="21"/>
              </w:rPr>
              <w:t>磋商供应商</w:t>
            </w:r>
            <w:r>
              <w:rPr>
                <w:rFonts w:hint="eastAsia" w:cs="宋体" w:asciiTheme="minorEastAsia" w:hAnsiTheme="minorEastAsia" w:eastAsiaTheme="minorEastAsia"/>
                <w:szCs w:val="21"/>
                <w:lang w:val="zh-CN"/>
              </w:rPr>
              <w:t>结合本项目</w:t>
            </w:r>
            <w:r>
              <w:rPr>
                <w:rFonts w:hint="eastAsia" w:cs="宋体" w:asciiTheme="minorEastAsia" w:hAnsiTheme="minorEastAsia" w:eastAsiaTheme="minorEastAsia"/>
                <w:szCs w:val="21"/>
              </w:rPr>
              <w:t>需求</w:t>
            </w:r>
            <w:r>
              <w:rPr>
                <w:rFonts w:hint="eastAsia" w:cs="宋体" w:asciiTheme="minorEastAsia" w:hAnsiTheme="minorEastAsia" w:eastAsiaTheme="minorEastAsia"/>
                <w:szCs w:val="21"/>
                <w:lang w:val="zh-CN"/>
              </w:rPr>
              <w:t>提供的项目实施方案，</w:t>
            </w:r>
            <w:r>
              <w:rPr>
                <w:rFonts w:hint="eastAsia" w:cs="宋体" w:asciiTheme="minorEastAsia" w:hAnsiTheme="minorEastAsia" w:eastAsiaTheme="minorEastAsia"/>
                <w:szCs w:val="21"/>
              </w:rPr>
              <w:t>对其</w:t>
            </w:r>
            <w:r>
              <w:rPr>
                <w:rFonts w:hint="eastAsia" w:cs="宋体" w:asciiTheme="minorEastAsia" w:hAnsiTheme="minorEastAsia" w:eastAsiaTheme="minorEastAsia"/>
                <w:szCs w:val="21"/>
                <w:lang w:val="zh-CN"/>
              </w:rPr>
              <w:t>实施计划</w:t>
            </w:r>
            <w:r>
              <w:rPr>
                <w:rFonts w:hint="eastAsia" w:asciiTheme="minorEastAsia" w:hAnsiTheme="minorEastAsia" w:eastAsiaTheme="minorEastAsia"/>
                <w:kern w:val="0"/>
                <w:szCs w:val="21"/>
              </w:rPr>
              <w:t>、项目阶段管理、人员配置安排、</w:t>
            </w:r>
            <w:r>
              <w:rPr>
                <w:rFonts w:hint="eastAsia" w:cs="宋体" w:asciiTheme="minorEastAsia" w:hAnsiTheme="minorEastAsia" w:eastAsiaTheme="minorEastAsia"/>
                <w:szCs w:val="21"/>
                <w:lang w:val="zh-CN"/>
              </w:rPr>
              <w:t>项目组织管理、项目风险管理</w:t>
            </w:r>
            <w:r>
              <w:rPr>
                <w:rFonts w:hint="eastAsia" w:asciiTheme="minorEastAsia" w:hAnsiTheme="minorEastAsia" w:eastAsiaTheme="minorEastAsia"/>
                <w:kern w:val="0"/>
                <w:szCs w:val="21"/>
              </w:rPr>
              <w:t>进行综合</w:t>
            </w:r>
            <w:r>
              <w:rPr>
                <w:rFonts w:hint="eastAsia" w:asciiTheme="minorEastAsia" w:hAnsiTheme="minorEastAsia" w:eastAsiaTheme="minorEastAsia"/>
                <w:kern w:val="0"/>
                <w:szCs w:val="21"/>
                <w:lang w:val="zh-CN"/>
              </w:rPr>
              <w:t>评定打分</w:t>
            </w:r>
            <w:r>
              <w:rPr>
                <w:rFonts w:hint="eastAsia" w:cs="宋体" w:asciiTheme="minorEastAsia" w:hAnsiTheme="minorEastAsia" w:eastAsiaTheme="minorEastAsia"/>
                <w:szCs w:val="21"/>
                <w:lang w:val="zh-CN"/>
              </w:rPr>
              <w:t>。</w:t>
            </w:r>
          </w:p>
          <w:p w14:paraId="6C17A9ED">
            <w:pPr>
              <w:pStyle w:val="35"/>
              <w:numPr>
                <w:ilvl w:val="0"/>
                <w:numId w:val="5"/>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方案内容全面详细，逻辑性强，科学合理，流程规范的得10分；</w:t>
            </w:r>
          </w:p>
          <w:p w14:paraId="27284EC9">
            <w:pPr>
              <w:pStyle w:val="35"/>
              <w:numPr>
                <w:ilvl w:val="0"/>
                <w:numId w:val="5"/>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方案内容较为全面，逻辑性较强，较为科学合理，流程规范一般的得6分；</w:t>
            </w:r>
          </w:p>
          <w:p w14:paraId="0BF883F9">
            <w:pPr>
              <w:pStyle w:val="35"/>
              <w:numPr>
                <w:ilvl w:val="0"/>
                <w:numId w:val="5"/>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提供方案不具体，逻辑性较差的得2分；</w:t>
            </w:r>
          </w:p>
          <w:p w14:paraId="094C0582">
            <w:pPr>
              <w:pStyle w:val="35"/>
              <w:numPr>
                <w:ilvl w:val="0"/>
                <w:numId w:val="5"/>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未提供不得分。</w:t>
            </w:r>
          </w:p>
        </w:tc>
      </w:tr>
      <w:tr w14:paraId="39EDEA43">
        <w:tblPrEx>
          <w:tblCellMar>
            <w:top w:w="0" w:type="dxa"/>
            <w:left w:w="108" w:type="dxa"/>
            <w:bottom w:w="0" w:type="dxa"/>
            <w:right w:w="108" w:type="dxa"/>
          </w:tblCellMar>
        </w:tblPrEx>
        <w:trPr>
          <w:trHeight w:val="406" w:hRule="atLeast"/>
          <w:jc w:val="center"/>
        </w:trPr>
        <w:tc>
          <w:tcPr>
            <w:tcW w:w="1202" w:type="dxa"/>
            <w:vMerge w:val="continue"/>
            <w:tcBorders>
              <w:left w:val="single" w:color="000000" w:sz="4" w:space="0"/>
              <w:right w:val="single" w:color="000000" w:sz="4" w:space="0"/>
            </w:tcBorders>
            <w:shd w:val="clear" w:color="auto" w:fill="auto"/>
            <w:vAlign w:val="center"/>
          </w:tcPr>
          <w:p w14:paraId="0B9553C9">
            <w:pPr>
              <w:widowControl/>
              <w:spacing w:line="360" w:lineRule="auto"/>
              <w:jc w:val="center"/>
              <w:rPr>
                <w:rFonts w:hint="eastAsia" w:cs="宋体" w:asciiTheme="minorEastAsia" w:hAnsiTheme="minorEastAsia" w:eastAsiaTheme="minorEastAsia"/>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7DC3">
            <w:pPr>
              <w:spacing w:line="360" w:lineRule="auto"/>
              <w:jc w:val="center"/>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rPr>
              <w:t>项目</w:t>
            </w:r>
            <w:r>
              <w:rPr>
                <w:rFonts w:hint="eastAsia" w:cs="宋体" w:asciiTheme="minorEastAsia" w:hAnsiTheme="minorEastAsia" w:eastAsiaTheme="minorEastAsia"/>
                <w:szCs w:val="21"/>
                <w:lang w:val="zh-CN"/>
              </w:rPr>
              <w:t>培训方案</w:t>
            </w:r>
          </w:p>
          <w:p w14:paraId="1C1B9435">
            <w:pPr>
              <w:widowControl/>
              <w:spacing w:line="360" w:lineRule="auto"/>
              <w:jc w:val="center"/>
              <w:textAlignment w:val="center"/>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649C">
            <w:pPr>
              <w:spacing w:line="360" w:lineRule="auto"/>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rPr>
              <w:t>根据</w:t>
            </w:r>
            <w:r>
              <w:rPr>
                <w:rFonts w:hint="eastAsia" w:asciiTheme="minorEastAsia" w:hAnsiTheme="minorEastAsia" w:eastAsiaTheme="minorEastAsia"/>
                <w:szCs w:val="21"/>
              </w:rPr>
              <w:t>磋商供应商</w:t>
            </w:r>
            <w:r>
              <w:rPr>
                <w:rFonts w:hint="eastAsia" w:asciiTheme="minorEastAsia" w:hAnsiTheme="minorEastAsia" w:eastAsiaTheme="minorEastAsia"/>
                <w:kern w:val="0"/>
                <w:szCs w:val="21"/>
              </w:rPr>
              <w:t>提供的培训方案，对其培训计划、培训目标、培训师资力量、培训内容等要点</w:t>
            </w:r>
            <w:r>
              <w:rPr>
                <w:rFonts w:hint="eastAsia" w:asciiTheme="minorEastAsia" w:hAnsiTheme="minorEastAsia" w:eastAsiaTheme="minorEastAsia"/>
                <w:kern w:val="0"/>
                <w:szCs w:val="21"/>
                <w:lang w:val="zh-CN"/>
              </w:rPr>
              <w:t>进行评定打分。</w:t>
            </w:r>
          </w:p>
          <w:p w14:paraId="31D54035">
            <w:pPr>
              <w:pStyle w:val="35"/>
              <w:numPr>
                <w:ilvl w:val="0"/>
                <w:numId w:val="6"/>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培训方案内容合理，逻辑严密，阐述准确并对客户承诺内容，故障响应能力强，得10分；</w:t>
            </w:r>
          </w:p>
          <w:p w14:paraId="5F0F8098">
            <w:pPr>
              <w:pStyle w:val="35"/>
              <w:numPr>
                <w:ilvl w:val="0"/>
                <w:numId w:val="6"/>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培训方案内容较合理，逻辑较严密，阐述较准确并对客户承诺内容，故障响应能力较强，得6分；</w:t>
            </w:r>
          </w:p>
          <w:p w14:paraId="166C4AC2">
            <w:pPr>
              <w:pStyle w:val="35"/>
              <w:numPr>
                <w:ilvl w:val="0"/>
                <w:numId w:val="6"/>
              </w:numPr>
              <w:spacing w:line="360" w:lineRule="auto"/>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培训方案内容完整合理性较差，逻辑严密性不足，阐述不准确并对客户承诺内容，故障响应能力较差，得2分；</w:t>
            </w:r>
          </w:p>
          <w:p w14:paraId="06C5FEA9">
            <w:pPr>
              <w:pStyle w:val="35"/>
              <w:numPr>
                <w:ilvl w:val="0"/>
                <w:numId w:val="6"/>
              </w:num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color w:val="000000"/>
                <w:kern w:val="0"/>
                <w:szCs w:val="21"/>
                <w:lang w:bidi="ar"/>
              </w:rPr>
              <w:t>未提供不得分。</w:t>
            </w:r>
          </w:p>
        </w:tc>
      </w:tr>
      <w:tr w14:paraId="29A34C42">
        <w:tblPrEx>
          <w:tblCellMar>
            <w:top w:w="0" w:type="dxa"/>
            <w:left w:w="108" w:type="dxa"/>
            <w:bottom w:w="0" w:type="dxa"/>
            <w:right w:w="108" w:type="dxa"/>
          </w:tblCellMar>
        </w:tblPrEx>
        <w:trPr>
          <w:trHeight w:val="800" w:hRule="atLeast"/>
          <w:jc w:val="center"/>
        </w:trPr>
        <w:tc>
          <w:tcPr>
            <w:tcW w:w="1202" w:type="dxa"/>
            <w:vMerge w:val="continue"/>
            <w:tcBorders>
              <w:left w:val="single" w:color="000000" w:sz="4" w:space="0"/>
              <w:bottom w:val="single" w:color="000000" w:sz="4" w:space="0"/>
              <w:right w:val="single" w:color="000000" w:sz="4" w:space="0"/>
            </w:tcBorders>
            <w:shd w:val="clear" w:color="auto" w:fill="auto"/>
            <w:vAlign w:val="center"/>
          </w:tcPr>
          <w:p w14:paraId="615A2F3A">
            <w:pPr>
              <w:widowControl/>
              <w:spacing w:line="360" w:lineRule="auto"/>
              <w:jc w:val="center"/>
              <w:rPr>
                <w:rFonts w:hint="eastAsia" w:cs="宋体" w:asciiTheme="minorEastAsia" w:hAnsiTheme="minorEastAsia" w:eastAsiaTheme="minorEastAsia"/>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CA22">
            <w:pPr>
              <w:spacing w:line="360" w:lineRule="auto"/>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售后服务方案</w:t>
            </w:r>
          </w:p>
          <w:p w14:paraId="4A50A2B5">
            <w:pPr>
              <w:widowControl/>
              <w:spacing w:line="360" w:lineRule="auto"/>
              <w:jc w:val="center"/>
              <w:textAlignment w:val="center"/>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rPr>
              <w:t>（15分）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DA53">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根据</w:t>
            </w:r>
            <w:r>
              <w:rPr>
                <w:rFonts w:hint="eastAsia" w:asciiTheme="minorEastAsia" w:hAnsiTheme="minorEastAsia" w:eastAsiaTheme="minorEastAsia"/>
                <w:szCs w:val="21"/>
              </w:rPr>
              <w:t>磋商供应商</w:t>
            </w:r>
            <w:r>
              <w:rPr>
                <w:rFonts w:hint="eastAsia" w:asciiTheme="minorEastAsia" w:hAnsiTheme="minorEastAsia" w:eastAsiaTheme="minorEastAsia"/>
                <w:kern w:val="0"/>
                <w:szCs w:val="21"/>
              </w:rPr>
              <w:t>提供的售后服务方案综合评定打分，售后服务方案至少包含以下内容：响应时间、故障处理、服务流程。</w:t>
            </w:r>
          </w:p>
          <w:p w14:paraId="52AC6332">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（1）方案全面合理，服务流程及内容具体，响应时间迅速，服务人员齐备得15分；</w:t>
            </w:r>
          </w:p>
          <w:p w14:paraId="627B4B19">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（2）售后服务方案全面，有基本服务流程及内容，响应时间较为缓慢，服务人员匹配勉强满足需求得10分；</w:t>
            </w:r>
          </w:p>
          <w:p w14:paraId="7CA95F66">
            <w:pPr>
              <w:spacing w:line="360" w:lineRule="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（3）方案较片面，服务流程及内容空洞或欠缺，响应时间缓慢，服务人员匹配欠缺得5分；</w:t>
            </w:r>
          </w:p>
          <w:p w14:paraId="63E7F67E">
            <w:pPr>
              <w:spacing w:line="360" w:lineRule="auto"/>
              <w:rPr>
                <w:rFonts w:hint="eastAsia" w:cs="宋体" w:asciiTheme="minorEastAsia" w:hAnsiTheme="minorEastAsia" w:eastAsiaTheme="minorEastAsia"/>
                <w:szCs w:val="21"/>
              </w:rPr>
            </w:pPr>
            <w:r>
              <w:rPr>
                <w:rFonts w:hint="eastAsia" w:asciiTheme="minorEastAsia" w:hAnsiTheme="minorEastAsia" w:eastAsiaTheme="minorEastAsia"/>
                <w:kern w:val="0"/>
                <w:szCs w:val="21"/>
              </w:rPr>
              <w:t>（4）未提供不得分。</w:t>
            </w:r>
          </w:p>
        </w:tc>
      </w:tr>
      <w:tr w14:paraId="17A23F45">
        <w:tblPrEx>
          <w:tblCellMar>
            <w:top w:w="0" w:type="dxa"/>
            <w:left w:w="108" w:type="dxa"/>
            <w:bottom w:w="0" w:type="dxa"/>
            <w:right w:w="108" w:type="dxa"/>
          </w:tblCellMar>
        </w:tblPrEx>
        <w:trPr>
          <w:trHeight w:val="90" w:hRule="atLeast"/>
          <w:jc w:val="center"/>
        </w:trPr>
        <w:tc>
          <w:tcPr>
            <w:tcW w:w="1202" w:type="dxa"/>
            <w:vMerge w:val="restart"/>
            <w:tcBorders>
              <w:top w:val="single" w:color="000000" w:sz="4" w:space="0"/>
              <w:left w:val="single" w:color="000000" w:sz="4" w:space="0"/>
              <w:right w:val="single" w:color="000000" w:sz="4" w:space="0"/>
            </w:tcBorders>
            <w:shd w:val="clear" w:color="auto" w:fill="auto"/>
            <w:vAlign w:val="center"/>
          </w:tcPr>
          <w:p w14:paraId="7B9E4535">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kern w:val="0"/>
                <w:szCs w:val="21"/>
                <w:lang w:bidi="ar"/>
              </w:rPr>
              <w:t>商务部分（20分）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990">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业绩</w:t>
            </w:r>
          </w:p>
          <w:p w14:paraId="54045020">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14:paraId="76B56021">
            <w:pPr>
              <w:spacing w:line="360" w:lineRule="auto"/>
              <w:rPr>
                <w:rFonts w:hint="eastAsia" w:cs="宋体" w:asciiTheme="minorEastAsia" w:hAnsiTheme="minorEastAsia" w:eastAsiaTheme="minorEastAsia"/>
                <w:szCs w:val="21"/>
                <w:lang w:val="zh-CN"/>
              </w:rPr>
            </w:pPr>
            <w:r>
              <w:rPr>
                <w:rFonts w:hint="eastAsia" w:asciiTheme="minorEastAsia" w:hAnsiTheme="minorEastAsia" w:eastAsiaTheme="minorEastAsia"/>
                <w:szCs w:val="21"/>
              </w:rPr>
              <w:t>磋商供应商</w:t>
            </w:r>
            <w:r>
              <w:rPr>
                <w:rFonts w:hint="eastAsia" w:cs="宋体" w:asciiTheme="minorEastAsia" w:hAnsiTheme="minorEastAsia" w:eastAsiaTheme="minorEastAsia"/>
                <w:szCs w:val="21"/>
                <w:lang w:val="zh-CN"/>
              </w:rPr>
              <w:t>自2022年1月1日以来</w:t>
            </w:r>
            <w:r>
              <w:rPr>
                <w:rFonts w:hint="eastAsia" w:asciiTheme="minorEastAsia" w:hAnsiTheme="minorEastAsia" w:eastAsiaTheme="minorEastAsia" w:cstheme="minorEastAsia"/>
                <w:color w:val="05073B"/>
                <w:szCs w:val="21"/>
              </w:rPr>
              <w:t>成功实施政务服务移动端项目类似案例</w:t>
            </w:r>
            <w:r>
              <w:rPr>
                <w:rFonts w:hint="eastAsia" w:cs="宋体" w:asciiTheme="minorEastAsia" w:hAnsiTheme="minorEastAsia" w:eastAsiaTheme="minorEastAsia"/>
                <w:szCs w:val="21"/>
                <w:lang w:val="zh-CN"/>
              </w:rPr>
              <w:t>，每提供一个业绩证明材料得</w:t>
            </w: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zh-CN"/>
              </w:rPr>
              <w:t>分，最高5分，不提供不得分。</w:t>
            </w:r>
          </w:p>
          <w:p w14:paraId="16049D3F">
            <w:pPr>
              <w:pStyle w:val="35"/>
              <w:spacing w:line="360" w:lineRule="auto"/>
              <w:rPr>
                <w:rFonts w:hint="eastAsia" w:cs="宋体" w:asciiTheme="minorEastAsia" w:hAnsiTheme="minorEastAsia" w:eastAsiaTheme="minorEastAsia"/>
                <w:szCs w:val="21"/>
                <w:lang w:val="en-US"/>
              </w:rPr>
            </w:pPr>
            <w:r>
              <w:rPr>
                <w:rFonts w:hint="eastAsia" w:cs="宋体" w:asciiTheme="minorEastAsia" w:hAnsiTheme="minorEastAsia" w:eastAsiaTheme="minorEastAsia"/>
                <w:b/>
                <w:bCs/>
                <w:szCs w:val="21"/>
              </w:rPr>
              <w:t>（响应文件中须提供合同复印件并加盖磋商供应商公章，否则不得分）</w:t>
            </w:r>
          </w:p>
        </w:tc>
      </w:tr>
      <w:tr w14:paraId="653E1B7D">
        <w:tblPrEx>
          <w:tblCellMar>
            <w:top w:w="0" w:type="dxa"/>
            <w:left w:w="108" w:type="dxa"/>
            <w:bottom w:w="0" w:type="dxa"/>
            <w:right w:w="108" w:type="dxa"/>
          </w:tblCellMar>
        </w:tblPrEx>
        <w:trPr>
          <w:trHeight w:val="90" w:hRule="atLeast"/>
          <w:jc w:val="center"/>
        </w:trPr>
        <w:tc>
          <w:tcPr>
            <w:tcW w:w="1202" w:type="dxa"/>
            <w:vMerge w:val="continue"/>
            <w:tcBorders>
              <w:left w:val="single" w:color="000000" w:sz="4" w:space="0"/>
              <w:right w:val="single" w:color="000000" w:sz="4" w:space="0"/>
            </w:tcBorders>
            <w:shd w:val="clear" w:color="auto" w:fill="auto"/>
            <w:vAlign w:val="center"/>
          </w:tcPr>
          <w:p w14:paraId="558056F4">
            <w:pPr>
              <w:widowControl/>
              <w:spacing w:line="360" w:lineRule="auto"/>
              <w:jc w:val="center"/>
              <w:textAlignment w:val="center"/>
              <w:rPr>
                <w:rFonts w:hint="eastAsia" w:cs="宋体" w:asciiTheme="minorEastAsia" w:hAnsiTheme="minorEastAsia" w:eastAsiaTheme="minorEastAsia"/>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548">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企业资质</w:t>
            </w:r>
          </w:p>
          <w:p w14:paraId="425D0362">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（10分）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14:paraId="12E51C32">
            <w:pPr>
              <w:pStyle w:val="35"/>
              <w:numPr>
                <w:ilvl w:val="0"/>
                <w:numId w:val="7"/>
              </w:numPr>
              <w:spacing w:line="360" w:lineRule="auto"/>
              <w:rPr>
                <w:rFonts w:hint="eastAsia"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磋商供应商</w:t>
            </w:r>
            <w:r>
              <w:rPr>
                <w:rFonts w:hint="eastAsia" w:cs="宋体" w:asciiTheme="minorEastAsia" w:hAnsiTheme="minorEastAsia" w:eastAsiaTheme="minorEastAsia"/>
                <w:color w:val="000000"/>
                <w:kern w:val="0"/>
                <w:szCs w:val="21"/>
                <w:lang w:bidi="ar"/>
              </w:rPr>
              <w:t>具</w:t>
            </w:r>
            <w:r>
              <w:rPr>
                <w:rFonts w:hint="eastAsia" w:cs="宋体" w:asciiTheme="minorEastAsia" w:hAnsiTheme="minorEastAsia" w:eastAsiaTheme="minorEastAsia"/>
                <w:kern w:val="0"/>
                <w:szCs w:val="21"/>
                <w:lang w:bidi="ar"/>
              </w:rPr>
              <w:t>有CCRC信息安全服务资质认证证书、</w:t>
            </w:r>
            <w:r>
              <w:rPr>
                <w:rFonts w:hint="eastAsia" w:cs="宋体" w:asciiTheme="minorEastAsia" w:hAnsiTheme="minorEastAsia" w:eastAsiaTheme="minorEastAsia"/>
                <w:kern w:val="0"/>
                <w:szCs w:val="21"/>
                <w:lang w:val="en-US" w:bidi="ar"/>
              </w:rPr>
              <w:t>ITSS信息技术服务标准符合性证书</w:t>
            </w:r>
            <w:r>
              <w:rPr>
                <w:rFonts w:hint="eastAsia" w:cs="宋体" w:asciiTheme="minorEastAsia" w:hAnsiTheme="minorEastAsia" w:eastAsiaTheme="minorEastAsia"/>
                <w:kern w:val="0"/>
                <w:szCs w:val="21"/>
                <w:lang w:bidi="ar"/>
              </w:rPr>
              <w:t>、信息安全管理体系认证证书、信息技术服务管理体系认证证书的，每提供1个得0.5分，最高得2分。</w:t>
            </w:r>
          </w:p>
          <w:p w14:paraId="707E842B">
            <w:pPr>
              <w:pStyle w:val="35"/>
              <w:numPr>
                <w:ilvl w:val="0"/>
                <w:numId w:val="7"/>
              </w:numPr>
              <w:spacing w:line="360" w:lineRule="auto"/>
              <w:rPr>
                <w:rFonts w:hint="eastAsia"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磋商供应商</w:t>
            </w:r>
            <w:r>
              <w:rPr>
                <w:rFonts w:hint="eastAsia" w:cs="宋体" w:asciiTheme="minorEastAsia" w:hAnsiTheme="minorEastAsia" w:eastAsiaTheme="minorEastAsia"/>
                <w:color w:val="000000"/>
                <w:kern w:val="0"/>
                <w:szCs w:val="21"/>
                <w:lang w:bidi="ar"/>
              </w:rPr>
              <w:t>具有软件服务商交付能力二级证书，得1分。</w:t>
            </w:r>
          </w:p>
          <w:p w14:paraId="63C8A3E0">
            <w:pPr>
              <w:pStyle w:val="35"/>
              <w:numPr>
                <w:ilvl w:val="0"/>
                <w:numId w:val="7"/>
              </w:numPr>
              <w:spacing w:line="360" w:lineRule="auto"/>
              <w:rPr>
                <w:rFonts w:hint="eastAsia"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磋商供应商</w:t>
            </w:r>
            <w:r>
              <w:rPr>
                <w:rFonts w:hint="eastAsia" w:cs="宋体" w:asciiTheme="minorEastAsia" w:hAnsiTheme="minorEastAsia" w:eastAsiaTheme="minorEastAsia"/>
                <w:color w:val="000000"/>
                <w:kern w:val="0"/>
                <w:szCs w:val="21"/>
                <w:lang w:bidi="ar"/>
              </w:rPr>
              <w:t>具有CMMI5级认证证书，得3分；具有CMMI4级认证证书，得2分；具有CMMI3级认证证书，得1分，其他不得分。</w:t>
            </w:r>
          </w:p>
          <w:p w14:paraId="61594E64">
            <w:pPr>
              <w:pStyle w:val="35"/>
              <w:numPr>
                <w:ilvl w:val="0"/>
                <w:numId w:val="7"/>
              </w:numPr>
              <w:spacing w:line="360" w:lineRule="auto"/>
              <w:rPr>
                <w:rFonts w:hint="eastAsia" w:cs="宋体" w:asciiTheme="minorEastAsia" w:hAnsiTheme="minorEastAsia" w:eastAsiaTheme="minorEastAsia"/>
                <w:szCs w:val="21"/>
                <w:lang w:val="en-US"/>
              </w:rPr>
            </w:pPr>
            <w:r>
              <w:rPr>
                <w:rFonts w:hint="eastAsia" w:asciiTheme="minorEastAsia" w:hAnsiTheme="minorEastAsia" w:eastAsiaTheme="minorEastAsia"/>
                <w:szCs w:val="21"/>
              </w:rPr>
              <w:t>磋商供应商</w:t>
            </w:r>
            <w:r>
              <w:rPr>
                <w:rFonts w:hint="eastAsia" w:cs="宋体" w:asciiTheme="minorEastAsia" w:hAnsiTheme="minorEastAsia" w:eastAsiaTheme="minorEastAsia"/>
                <w:szCs w:val="21"/>
                <w:lang w:val="en-US"/>
              </w:rPr>
              <w:t>具有项目建设需求所需的移动应用开放类、政务服务应用管理类、移动多端类、多端低代码类产品著作权证书，每提供1个得0.5分，满分4分。</w:t>
            </w:r>
          </w:p>
          <w:p w14:paraId="78D96F28">
            <w:pPr>
              <w:pStyle w:val="35"/>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响应文件中须提供以上证书复印件并加盖</w:t>
            </w:r>
            <w:r>
              <w:rPr>
                <w:rFonts w:hint="eastAsia" w:asciiTheme="minorEastAsia" w:hAnsiTheme="minorEastAsia" w:eastAsiaTheme="minorEastAsia"/>
                <w:b/>
                <w:bCs/>
                <w:szCs w:val="21"/>
              </w:rPr>
              <w:t>磋商供应商</w:t>
            </w:r>
            <w:r>
              <w:rPr>
                <w:rFonts w:hint="eastAsia" w:cs="宋体" w:asciiTheme="minorEastAsia" w:hAnsiTheme="minorEastAsia" w:eastAsiaTheme="minorEastAsia"/>
                <w:b/>
                <w:bCs/>
                <w:szCs w:val="21"/>
              </w:rPr>
              <w:t>公章，未提供不得分。</w:t>
            </w:r>
          </w:p>
        </w:tc>
      </w:tr>
      <w:tr w14:paraId="5B5BCC0B">
        <w:tblPrEx>
          <w:tblCellMar>
            <w:top w:w="0" w:type="dxa"/>
            <w:left w:w="108" w:type="dxa"/>
            <w:bottom w:w="0" w:type="dxa"/>
            <w:right w:w="108" w:type="dxa"/>
          </w:tblCellMar>
        </w:tblPrEx>
        <w:trPr>
          <w:trHeight w:val="90" w:hRule="atLeast"/>
          <w:jc w:val="center"/>
        </w:trPr>
        <w:tc>
          <w:tcPr>
            <w:tcW w:w="1202" w:type="dxa"/>
            <w:vMerge w:val="continue"/>
            <w:tcBorders>
              <w:left w:val="single" w:color="000000" w:sz="4" w:space="0"/>
              <w:bottom w:val="single" w:color="000000" w:sz="4" w:space="0"/>
              <w:right w:val="single" w:color="000000" w:sz="4" w:space="0"/>
            </w:tcBorders>
            <w:shd w:val="clear" w:color="auto" w:fill="auto"/>
            <w:vAlign w:val="center"/>
          </w:tcPr>
          <w:p w14:paraId="03F690A3">
            <w:pPr>
              <w:widowControl/>
              <w:spacing w:line="360" w:lineRule="auto"/>
              <w:jc w:val="center"/>
              <w:textAlignment w:val="center"/>
              <w:rPr>
                <w:rFonts w:hint="eastAsia" w:cs="宋体" w:asciiTheme="minorEastAsia" w:hAnsiTheme="minorEastAsia" w:eastAsiaTheme="minorEastAsia"/>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E6D9">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人员资质</w:t>
            </w:r>
          </w:p>
          <w:p w14:paraId="09EBCBDE">
            <w:pPr>
              <w:widowControl/>
              <w:spacing w:line="360" w:lineRule="auto"/>
              <w:jc w:val="center"/>
              <w:textAlignment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（5分）</w:t>
            </w:r>
          </w:p>
        </w:tc>
        <w:tc>
          <w:tcPr>
            <w:tcW w:w="6965" w:type="dxa"/>
            <w:tcBorders>
              <w:top w:val="single" w:color="000000" w:sz="4" w:space="0"/>
              <w:left w:val="single" w:color="000000" w:sz="4" w:space="0"/>
              <w:bottom w:val="single" w:color="000000" w:sz="4" w:space="0"/>
              <w:right w:val="single" w:color="000000" w:sz="4" w:space="0"/>
            </w:tcBorders>
            <w:shd w:val="clear" w:color="auto" w:fill="auto"/>
          </w:tcPr>
          <w:p w14:paraId="5B18EC0F">
            <w:pPr>
              <w:pStyle w:val="35"/>
              <w:numPr>
                <w:ilvl w:val="0"/>
                <w:numId w:val="8"/>
              </w:numPr>
              <w:spacing w:line="360" w:lineRule="auto"/>
              <w:rPr>
                <w:rFonts w:hint="eastAsia" w:cs="宋体" w:asciiTheme="minorEastAsia" w:hAnsiTheme="minorEastAsia" w:eastAsiaTheme="minorEastAsia"/>
                <w:szCs w:val="21"/>
                <w:lang w:val="en-US"/>
              </w:rPr>
            </w:pPr>
            <w:r>
              <w:rPr>
                <w:rFonts w:hint="eastAsia" w:cs="宋体" w:asciiTheme="minorEastAsia" w:hAnsiTheme="minorEastAsia" w:eastAsiaTheme="minorEastAsia"/>
                <w:szCs w:val="21"/>
                <w:lang w:val="en-US"/>
              </w:rPr>
              <w:t>拟派</w:t>
            </w:r>
            <w:r>
              <w:rPr>
                <w:rFonts w:cs="宋体" w:asciiTheme="minorEastAsia" w:hAnsiTheme="minorEastAsia" w:eastAsiaTheme="minorEastAsia"/>
                <w:szCs w:val="21"/>
                <w:lang w:val="en-US"/>
              </w:rPr>
              <w:t>项目团队成员中，</w:t>
            </w:r>
            <w:r>
              <w:rPr>
                <w:rFonts w:hint="eastAsia" w:cs="宋体" w:asciiTheme="minorEastAsia" w:hAnsiTheme="minorEastAsia" w:eastAsiaTheme="minorEastAsia"/>
                <w:szCs w:val="21"/>
                <w:lang w:val="en-US"/>
              </w:rPr>
              <w:t>项目人员</w:t>
            </w:r>
            <w:r>
              <w:rPr>
                <w:rFonts w:cs="宋体" w:asciiTheme="minorEastAsia" w:hAnsiTheme="minorEastAsia" w:eastAsiaTheme="minorEastAsia"/>
                <w:szCs w:val="21"/>
                <w:lang w:val="en-US"/>
              </w:rPr>
              <w:t>具有</w:t>
            </w:r>
            <w:r>
              <w:rPr>
                <w:rFonts w:hint="eastAsia" w:cs="宋体" w:asciiTheme="minorEastAsia" w:hAnsiTheme="minorEastAsia" w:eastAsiaTheme="minorEastAsia"/>
                <w:szCs w:val="21"/>
                <w:lang w:val="en-US"/>
              </w:rPr>
              <w:t>高级软件工程师</w:t>
            </w:r>
            <w:r>
              <w:rPr>
                <w:rFonts w:cs="宋体" w:asciiTheme="minorEastAsia" w:hAnsiTheme="minorEastAsia" w:eastAsiaTheme="minorEastAsia"/>
                <w:szCs w:val="21"/>
                <w:lang w:val="en-US"/>
              </w:rPr>
              <w:t>证书</w:t>
            </w:r>
            <w:r>
              <w:rPr>
                <w:rFonts w:hint="eastAsia" w:cs="宋体" w:asciiTheme="minorEastAsia" w:hAnsiTheme="minorEastAsia" w:eastAsiaTheme="minorEastAsia"/>
                <w:szCs w:val="21"/>
                <w:lang w:val="en-US"/>
              </w:rPr>
              <w:t>、</w:t>
            </w:r>
            <w:r>
              <w:rPr>
                <w:rFonts w:cs="宋体" w:asciiTheme="minorEastAsia" w:hAnsiTheme="minorEastAsia" w:eastAsiaTheme="minorEastAsia"/>
                <w:szCs w:val="21"/>
                <w:lang w:val="en-US"/>
              </w:rPr>
              <w:t>高级WEB前端开发工程师证书</w:t>
            </w:r>
            <w:r>
              <w:rPr>
                <w:rFonts w:hint="eastAsia" w:cs="宋体" w:asciiTheme="minorEastAsia" w:hAnsiTheme="minorEastAsia" w:eastAsiaTheme="minorEastAsia"/>
                <w:szCs w:val="21"/>
                <w:lang w:val="en-US"/>
              </w:rPr>
              <w:t>、高级交互设计师</w:t>
            </w:r>
            <w:r>
              <w:rPr>
                <w:rFonts w:cs="宋体" w:asciiTheme="minorEastAsia" w:hAnsiTheme="minorEastAsia" w:eastAsiaTheme="minorEastAsia"/>
                <w:szCs w:val="21"/>
                <w:lang w:val="en-US"/>
              </w:rPr>
              <w:t>证书</w:t>
            </w:r>
            <w:r>
              <w:rPr>
                <w:rFonts w:hint="eastAsia" w:cs="宋体" w:asciiTheme="minorEastAsia" w:hAnsiTheme="minorEastAsia" w:eastAsiaTheme="minorEastAsia"/>
                <w:szCs w:val="21"/>
                <w:lang w:val="en-US"/>
              </w:rPr>
              <w:t>、高级数据库管理</w:t>
            </w:r>
            <w:r>
              <w:rPr>
                <w:rFonts w:cs="宋体" w:asciiTheme="minorEastAsia" w:hAnsiTheme="minorEastAsia" w:eastAsiaTheme="minorEastAsia"/>
                <w:szCs w:val="21"/>
                <w:lang w:val="en-US"/>
              </w:rPr>
              <w:t>工程师证书</w:t>
            </w:r>
            <w:r>
              <w:rPr>
                <w:rFonts w:hint="eastAsia" w:cs="宋体" w:asciiTheme="minorEastAsia" w:hAnsiTheme="minorEastAsia" w:eastAsiaTheme="minorEastAsia"/>
                <w:szCs w:val="21"/>
                <w:lang w:val="en-US"/>
              </w:rPr>
              <w:t>，每提供1个得1分，最多得4分。</w:t>
            </w:r>
          </w:p>
          <w:p w14:paraId="601C411E">
            <w:pPr>
              <w:pStyle w:val="35"/>
              <w:numPr>
                <w:ilvl w:val="0"/>
                <w:numId w:val="8"/>
              </w:numPr>
              <w:spacing w:line="360" w:lineRule="auto"/>
              <w:rPr>
                <w:rFonts w:hint="eastAsia" w:cs="宋体" w:asciiTheme="minorEastAsia" w:hAnsiTheme="minorEastAsia" w:eastAsiaTheme="minorEastAsia"/>
                <w:szCs w:val="21"/>
                <w:lang w:val="en-US"/>
              </w:rPr>
            </w:pPr>
            <w:r>
              <w:rPr>
                <w:rFonts w:hint="eastAsia" w:cs="宋体" w:asciiTheme="minorEastAsia" w:hAnsiTheme="minorEastAsia" w:eastAsiaTheme="minorEastAsia"/>
                <w:szCs w:val="21"/>
                <w:lang w:val="en-US"/>
              </w:rPr>
              <w:t>拟派项目团队成员中，服务项目经理具有ITSS项目经理资格证书，得1分。</w:t>
            </w:r>
          </w:p>
          <w:p w14:paraId="3AC78F26">
            <w:pPr>
              <w:pStyle w:val="35"/>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b/>
                <w:bCs/>
                <w:szCs w:val="21"/>
              </w:rPr>
              <w:t>以上1-2项响应文件中一人多证不重复计分，提供相关人员证书、证明复印件以及磋商供应商为其缴纳的最近一期社保证明复印件并加盖磋商供应商公章，未提供不得分。</w:t>
            </w:r>
          </w:p>
        </w:tc>
      </w:tr>
    </w:tbl>
    <w:p w14:paraId="306DF1AD">
      <w:pPr>
        <w:pStyle w:val="2"/>
        <w:numPr>
          <w:ilvl w:val="3"/>
          <w:numId w:val="0"/>
        </w:numPr>
      </w:pPr>
    </w:p>
    <w:p w14:paraId="17D4C1B3">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color w:val="000000" w:themeColor="text1"/>
          <w:sz w:val="28"/>
          <w:szCs w:val="28"/>
          <w:highlight w:val="none"/>
          <w:lang w:val="zh-CN"/>
          <w14:textFill>
            <w14:solidFill>
              <w14:schemeClr w14:val="tx1"/>
            </w14:solidFill>
          </w14:textFill>
        </w:rPr>
      </w:pPr>
    </w:p>
    <w:p w14:paraId="2BDFE7AD">
      <w:pPr>
        <w:autoSpaceDE w:val="0"/>
        <w:autoSpaceDN w:val="0"/>
        <w:adjustRightInd w:val="0"/>
        <w:snapToGrid w:val="0"/>
        <w:spacing w:line="600" w:lineRule="exact"/>
        <w:ind w:firstLine="56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sz w:val="32"/>
          <w:szCs w:val="32"/>
          <w:lang w:val="zh-CN"/>
          <w14:textFill>
            <w14:solidFill>
              <w14:schemeClr w14:val="tx1"/>
            </w14:solidFill>
          </w14:textFill>
        </w:rPr>
        <w:t>价格分</w:t>
      </w:r>
      <w:r>
        <w:rPr>
          <w:rFonts w:ascii="Times New Roman" w:hAnsi="Times New Roman" w:eastAsia="方正仿宋_GBK" w:cs="Times New Roman"/>
          <w:b/>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lang w:val="zh-CN" w:eastAsia="zh-CN"/>
          <w14:textFill>
            <w14:solidFill>
              <w14:schemeClr w14:val="tx1"/>
            </w14:solidFill>
          </w14:textFill>
        </w:rPr>
        <w:t>分</w:t>
      </w:r>
    </w:p>
    <w:p w14:paraId="47C7A21A">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价格标评标基准分为</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0分，满足招标文件要求且投标价格最低的投标报价为评标基准价，其价格分为满分（</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0分），其他投标人的价格分统一按照下列公式计算：</w:t>
      </w:r>
    </w:p>
    <w:p w14:paraId="50A29982">
      <w:pPr>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投标报价得分=(投标基准价／最后投标报价)×</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0×100%。</w:t>
      </w:r>
    </w:p>
    <w:p w14:paraId="0C71762D">
      <w:pPr>
        <w:rPr>
          <w:rFonts w:hint="eastAsia"/>
        </w:rPr>
      </w:pPr>
      <w:r>
        <w:rPr>
          <w:rFonts w:ascii="Times New Roman" w:hAnsi="Times New Roman" w:eastAsia="方正仿宋_GBK" w:cs="Times New Roman"/>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3DB394D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highlight w:val="none"/>
        </w:rPr>
      </w:pPr>
    </w:p>
    <w:p w14:paraId="4B5D3F21">
      <w:pPr>
        <w:pStyle w:val="18"/>
        <w:keepNext w:val="0"/>
        <w:keepLines w:val="0"/>
        <w:pageBreakBefore w:val="0"/>
        <w:widowControl w:val="0"/>
        <w:kinsoku/>
        <w:wordWrap/>
        <w:overflowPunct/>
        <w:topLinePunct w:val="0"/>
        <w:bidi w:val="0"/>
        <w:spacing w:after="0" w:line="600" w:lineRule="exact"/>
        <w:ind w:left="0" w:leftChars="0" w:firstLine="0" w:firstLineChars="0"/>
        <w:textAlignment w:val="auto"/>
        <w:rPr>
          <w:rFonts w:hint="default" w:ascii="Times New Roman" w:hAnsi="Times New Roman" w:cs="Times New Roman"/>
          <w:sz w:val="32"/>
          <w:szCs w:val="32"/>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14:paraId="70C6CB5C">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rPr>
        <w:t>：</w:t>
      </w:r>
    </w:p>
    <w:p w14:paraId="5DD6DBF5">
      <w:pPr>
        <w:keepNext w:val="0"/>
        <w:keepLines w:val="0"/>
        <w:pageBreakBefore w:val="0"/>
        <w:kinsoku/>
        <w:wordWrap/>
        <w:overflowPunct/>
        <w:topLinePunct w:val="0"/>
        <w:bidi w:val="0"/>
        <w:spacing w:line="600" w:lineRule="exact"/>
        <w:textAlignment w:val="auto"/>
        <w:rPr>
          <w:rFonts w:hint="default" w:ascii="Times New Roman" w:hAnsi="Times New Roman" w:eastAsia="宋体" w:cs="Times New Roman"/>
          <w:sz w:val="24"/>
          <w:highlight w:val="none"/>
        </w:rPr>
      </w:pPr>
    </w:p>
    <w:p w14:paraId="127B8C52">
      <w:pPr>
        <w:keepNext w:val="0"/>
        <w:keepLines w:val="0"/>
        <w:pageBreakBefore w:val="0"/>
        <w:kinsoku/>
        <w:wordWrap/>
        <w:overflowPunct/>
        <w:topLinePunct w:val="0"/>
        <w:bidi w:val="0"/>
        <w:spacing w:line="600" w:lineRule="exact"/>
        <w:jc w:val="center"/>
        <w:textAlignment w:val="auto"/>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44"/>
          <w:szCs w:val="44"/>
          <w:highlight w:val="none"/>
          <w:lang w:val="zh-CN" w:eastAsia="zh-CN"/>
        </w:rPr>
        <w:t>投标承诺函</w:t>
      </w:r>
    </w:p>
    <w:p w14:paraId="71A5C6CD">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南通市</w:t>
      </w:r>
      <w:r>
        <w:rPr>
          <w:rFonts w:hint="default"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rPr>
        <w:t>：</w:t>
      </w:r>
    </w:p>
    <w:p w14:paraId="05D81326">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我单位</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（供应商名称）郑重承诺：</w:t>
      </w:r>
    </w:p>
    <w:p w14:paraId="74E0B7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default" w:ascii="Times New Roman" w:hAnsi="Times New Roman" w:eastAsia="方正仿宋_GBK" w:cs="Times New Roman"/>
          <w:sz w:val="32"/>
          <w:szCs w:val="32"/>
          <w:highlight w:val="none"/>
          <w:lang w:eastAsia="zh-CN"/>
        </w:rPr>
        <w:t>。</w:t>
      </w:r>
    </w:p>
    <w:p w14:paraId="682244DB">
      <w:pPr>
        <w:keepNext w:val="0"/>
        <w:keepLines w:val="0"/>
        <w:pageBreakBefore w:val="0"/>
        <w:widowControl w:val="0"/>
        <w:kinsoku/>
        <w:wordWrap/>
        <w:overflowPunct/>
        <w:topLinePunct w:val="0"/>
        <w:autoSpaceDE/>
        <w:autoSpaceDN/>
        <w:bidi w:val="0"/>
        <w:adjustRightInd/>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kern w:val="2"/>
          <w:sz w:val="32"/>
          <w:szCs w:val="32"/>
          <w:highlight w:val="none"/>
          <w:lang w:val="en-US" w:eastAsia="zh-CN" w:bidi="ar-SA"/>
        </w:rPr>
        <w:t>贵方组织的</w:t>
      </w:r>
      <w:r>
        <w:rPr>
          <w:rFonts w:hint="default" w:ascii="Times New Roman" w:hAnsi="Times New Roman" w:eastAsia="方正仿宋_GBK" w:cs="Times New Roman"/>
          <w:sz w:val="32"/>
          <w:szCs w:val="32"/>
          <w:highlight w:val="none"/>
        </w:rPr>
        <w:t>南通市</w:t>
      </w:r>
      <w:r>
        <w:rPr>
          <w:rFonts w:hint="eastAsia" w:ascii="Times New Roman" w:hAnsi="Times New Roman" w:eastAsia="方正仿宋_GBK" w:cs="Times New Roman"/>
          <w:sz w:val="32"/>
          <w:szCs w:val="32"/>
          <w:highlight w:val="none"/>
          <w:lang w:val="en-US" w:eastAsia="zh-CN"/>
        </w:rPr>
        <w:t>数据局</w:t>
      </w:r>
      <w:r>
        <w:rPr>
          <w:rFonts w:hint="default" w:ascii="Times New Roman" w:hAnsi="Times New Roman" w:eastAsia="方正仿宋_GBK" w:cs="Times New Roman"/>
          <w:sz w:val="32"/>
          <w:szCs w:val="32"/>
          <w:highlight w:val="none"/>
          <w:lang w:val="en-US" w:eastAsia="zh-CN"/>
        </w:rPr>
        <w:t>“苏服办”App南通旗舰店鸿蒙适配改造项目，我</w:t>
      </w:r>
      <w:r>
        <w:rPr>
          <w:rFonts w:hint="default" w:ascii="Times New Roman" w:hAnsi="Times New Roman" w:eastAsia="方正仿宋_GBK" w:cs="Times New Roman"/>
          <w:sz w:val="32"/>
          <w:szCs w:val="32"/>
          <w:highlight w:val="none"/>
        </w:rPr>
        <w:t>单位所提交的材料均为真实的，且能提供满足供应要求的服务内容。</w:t>
      </w:r>
    </w:p>
    <w:p w14:paraId="78B7E754">
      <w:pPr>
        <w:pStyle w:val="18"/>
        <w:keepNext w:val="0"/>
        <w:keepLines w:val="0"/>
        <w:pageBreakBefore w:val="0"/>
        <w:kinsoku/>
        <w:wordWrap/>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125ECCC1">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5B20DAD6">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p>
    <w:p w14:paraId="68B0DE50">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承诺人：（公章）</w:t>
      </w:r>
    </w:p>
    <w:p w14:paraId="7C7859B9">
      <w:pPr>
        <w:keepNext w:val="0"/>
        <w:keepLines w:val="0"/>
        <w:pageBreakBefore w:val="0"/>
        <w:kinsoku/>
        <w:wordWrap/>
        <w:overflowPunct/>
        <w:topLinePunct w:val="0"/>
        <w:bidi w:val="0"/>
        <w:spacing w:line="600" w:lineRule="exact"/>
        <w:ind w:firstLine="56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年    月   日</w:t>
      </w:r>
    </w:p>
    <w:p w14:paraId="6D9872FA">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376AE6B1">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0DD5F3B7">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2D7322EC">
      <w:pPr>
        <w:pStyle w:val="18"/>
        <w:keepNext w:val="0"/>
        <w:keepLines w:val="0"/>
        <w:pageBreakBefore w:val="0"/>
        <w:kinsoku/>
        <w:overflowPunct/>
        <w:topLinePunct w:val="0"/>
        <w:bidi w:val="0"/>
        <w:spacing w:after="0" w:line="600" w:lineRule="exact"/>
        <w:textAlignment w:val="auto"/>
        <w:rPr>
          <w:rFonts w:hint="default" w:ascii="Times New Roman" w:hAnsi="Times New Roman" w:eastAsia="方正仿宋_GBK" w:cs="Times New Roman"/>
          <w:sz w:val="32"/>
          <w:szCs w:val="32"/>
          <w:highlight w:val="none"/>
        </w:rPr>
      </w:pPr>
    </w:p>
    <w:p w14:paraId="739E2C6B">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sectPr>
          <w:pgSz w:w="11906" w:h="16838"/>
          <w:pgMar w:top="1560" w:right="1800" w:bottom="1440" w:left="1800" w:header="851" w:footer="657" w:gutter="0"/>
          <w:pgNumType w:fmt="decimal"/>
          <w:cols w:space="425" w:num="1"/>
          <w:docGrid w:type="lines" w:linePitch="312" w:charSpace="0"/>
        </w:sectPr>
      </w:pPr>
    </w:p>
    <w:p w14:paraId="0AC206EC">
      <w:pPr>
        <w:keepNext w:val="0"/>
        <w:keepLines w:val="0"/>
        <w:pageBreakBefore w:val="0"/>
        <w:kinsoku/>
        <w:wordWrap/>
        <w:overflowPunct/>
        <w:topLinePunct w:val="0"/>
        <w:bidi w:val="0"/>
        <w:spacing w:line="600" w:lineRule="exact"/>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附件</w:t>
      </w:r>
      <w:r>
        <w:rPr>
          <w:rFonts w:hint="default"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rPr>
        <w:t>：</w:t>
      </w:r>
    </w:p>
    <w:p w14:paraId="2A5A8C36">
      <w:pPr>
        <w:keepNext w:val="0"/>
        <w:keepLines w:val="0"/>
        <w:pageBreakBefore w:val="0"/>
        <w:widowControl w:val="0"/>
        <w:kinsoku/>
        <w:wordWrap/>
        <w:overflowPunct/>
        <w:topLinePunct w:val="0"/>
        <w:bidi w:val="0"/>
        <w:snapToGrid w:val="0"/>
        <w:spacing w:line="600" w:lineRule="exact"/>
        <w:jc w:val="center"/>
        <w:textAlignment w:val="auto"/>
        <w:rPr>
          <w:rFonts w:hint="default" w:ascii="Times New Roman" w:hAnsi="Times New Roman" w:eastAsia="方正小标宋_GBK" w:cs="Times New Roman"/>
          <w:kern w:val="2"/>
          <w:sz w:val="44"/>
          <w:szCs w:val="44"/>
          <w:highlight w:val="none"/>
          <w:lang w:val="zh-CN" w:eastAsia="zh-CN" w:bidi="ar-SA"/>
        </w:rPr>
      </w:pPr>
      <w:r>
        <w:rPr>
          <w:rFonts w:hint="default" w:ascii="Times New Roman" w:hAnsi="Times New Roman" w:eastAsia="方正小标宋_GBK" w:cs="Times New Roman"/>
          <w:kern w:val="2"/>
          <w:sz w:val="44"/>
          <w:szCs w:val="44"/>
          <w:highlight w:val="none"/>
          <w:lang w:val="zh-CN" w:eastAsia="zh-CN" w:bidi="ar-SA"/>
        </w:rPr>
        <w:t>磋商响应报价表</w:t>
      </w:r>
    </w:p>
    <w:p w14:paraId="4D16E2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14:paraId="6BB8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789ECB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05180C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58BD51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5C782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lang w:val="en-US" w:eastAsia="zh-CN"/>
              </w:rPr>
              <w:t>投标</w:t>
            </w:r>
            <w:r>
              <w:rPr>
                <w:rFonts w:hint="default" w:ascii="Times New Roman" w:hAnsi="Times New Roman" w:eastAsia="方正仿宋_GBK" w:cs="Times New Roman"/>
                <w:i w:val="0"/>
                <w:iCs w:val="0"/>
                <w:caps w:val="0"/>
                <w:color w:val="333333"/>
                <w:spacing w:val="0"/>
                <w:sz w:val="28"/>
                <w:szCs w:val="28"/>
                <w:highlight w:val="none"/>
              </w:rPr>
              <w:t>人</w:t>
            </w:r>
            <w:r>
              <w:rPr>
                <w:rFonts w:hint="default" w:ascii="Times New Roman" w:hAnsi="Times New Roman" w:eastAsia="方正仿宋_GBK" w:cs="Times New Roman"/>
                <w:i w:val="0"/>
                <w:iCs w:val="0"/>
                <w:caps w:val="0"/>
                <w:color w:val="333333"/>
                <w:spacing w:val="0"/>
                <w:sz w:val="28"/>
                <w:szCs w:val="28"/>
                <w:highlight w:val="none"/>
                <w:lang w:val="en-US" w:eastAsia="zh-CN"/>
              </w:rPr>
              <w:t>签字</w:t>
            </w:r>
          </w:p>
        </w:tc>
      </w:tr>
      <w:tr w14:paraId="0A97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306A9C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5792F6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32398D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76B437F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72F61764">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r w14:paraId="02F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50" w:hRule="atLeast"/>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14:paraId="2351B9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14:paraId="23DE92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14:paraId="1B27F8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大写（人民币）：</w:t>
            </w:r>
          </w:p>
          <w:p w14:paraId="342996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rPr>
              <w:t>小写（￥）：</w:t>
            </w:r>
          </w:p>
          <w:p w14:paraId="3FBF36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eastAsia" w:ascii="Times New Roman" w:hAnsi="Times New Roman" w:eastAsia="方正仿宋_GBK" w:cs="Times New Roman"/>
                <w:i w:val="0"/>
                <w:iCs w:val="0"/>
                <w:caps w:val="0"/>
                <w:color w:val="333333"/>
                <w:spacing w:val="0"/>
                <w:sz w:val="28"/>
                <w:szCs w:val="28"/>
                <w:highlight w:val="none"/>
                <w:lang w:val="en-US" w:eastAsia="zh-CN"/>
              </w:rPr>
            </w:pPr>
            <w:r>
              <w:rPr>
                <w:rFonts w:hint="eastAsia" w:ascii="Times New Roman" w:hAnsi="Times New Roman" w:eastAsia="方正仿宋_GBK" w:cs="Times New Roman"/>
                <w:i w:val="0"/>
                <w:iCs w:val="0"/>
                <w:caps w:val="0"/>
                <w:color w:val="333333"/>
                <w:spacing w:val="0"/>
                <w:sz w:val="28"/>
                <w:szCs w:val="28"/>
                <w:highlight w:val="none"/>
                <w:lang w:val="en-US" w:eastAsia="zh-CN"/>
              </w:rPr>
              <w:t>南通市旗舰店分项报价：</w:t>
            </w:r>
          </w:p>
          <w:p w14:paraId="354430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600" w:lineRule="exact"/>
              <w:ind w:right="0"/>
              <w:jc w:val="left"/>
              <w:textAlignment w:val="auto"/>
              <w:rPr>
                <w:rFonts w:hint="default" w:ascii="Times New Roman" w:hAnsi="Times New Roman" w:eastAsia="方正仿宋_GBK" w:cs="Times New Roman"/>
                <w:i w:val="0"/>
                <w:iCs w:val="0"/>
                <w:caps w:val="0"/>
                <w:color w:val="333333"/>
                <w:spacing w:val="0"/>
                <w:sz w:val="28"/>
                <w:szCs w:val="28"/>
                <w:highlight w:val="none"/>
                <w:lang w:val="en-US" w:eastAsia="zh-CN"/>
              </w:rPr>
            </w:pPr>
            <w:r>
              <w:rPr>
                <w:rFonts w:hint="eastAsia" w:ascii="Times New Roman" w:hAnsi="Times New Roman" w:eastAsia="方正仿宋_GBK" w:cs="Times New Roman"/>
                <w:i w:val="0"/>
                <w:iCs w:val="0"/>
                <w:caps w:val="0"/>
                <w:color w:val="333333"/>
                <w:spacing w:val="0"/>
                <w:sz w:val="28"/>
                <w:szCs w:val="28"/>
                <w:highlight w:val="none"/>
                <w:lang w:val="en-US" w:eastAsia="zh-CN"/>
              </w:rPr>
              <w:t>崇川区旗舰店分项报价：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14:paraId="46D2B28E">
            <w:pPr>
              <w:keepNext w:val="0"/>
              <w:keepLines w:val="0"/>
              <w:pageBreakBefore w:val="0"/>
              <w:widowControl/>
              <w:suppressLineNumbers w:val="0"/>
              <w:kinsoku/>
              <w:wordWrap w:val="0"/>
              <w:overflowPunct/>
              <w:topLinePunct w:val="0"/>
              <w:bidi w:val="0"/>
              <w:spacing w:beforeAutospacing="0" w:afterAutospacing="0" w:line="600" w:lineRule="exact"/>
              <w:ind w:left="0" w:right="0" w:firstLine="0"/>
              <w:jc w:val="left"/>
              <w:textAlignment w:val="auto"/>
              <w:rPr>
                <w:rFonts w:hint="default" w:ascii="Times New Roman" w:hAnsi="Times New Roman" w:eastAsia="方正仿宋_GBK" w:cs="Times New Roman"/>
                <w:i w:val="0"/>
                <w:iCs w:val="0"/>
                <w:caps w:val="0"/>
                <w:color w:val="333333"/>
                <w:spacing w:val="0"/>
                <w:sz w:val="28"/>
                <w:szCs w:val="28"/>
                <w:highlight w:val="none"/>
              </w:rPr>
            </w:pPr>
          </w:p>
        </w:tc>
      </w:tr>
    </w:tbl>
    <w:p w14:paraId="3C2DE9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pPr>
    </w:p>
    <w:p w14:paraId="37F7C4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方正仿宋_GBK" w:cs="Times New Roman"/>
          <w:i w:val="0"/>
          <w:iCs w:val="0"/>
          <w:caps w:val="0"/>
          <w:color w:val="333333"/>
          <w:spacing w:val="0"/>
          <w:sz w:val="28"/>
          <w:szCs w:val="28"/>
          <w:highlight w:val="none"/>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投标单位</w:t>
      </w:r>
      <w:r>
        <w:rPr>
          <w:rFonts w:hint="default" w:ascii="Times New Roman" w:hAnsi="Times New Roman" w:eastAsia="方正仿宋_GBK" w:cs="Times New Roman"/>
          <w:i w:val="0"/>
          <w:iCs w:val="0"/>
          <w:caps w:val="0"/>
          <w:color w:val="333333"/>
          <w:spacing w:val="0"/>
          <w:sz w:val="28"/>
          <w:szCs w:val="28"/>
          <w:highlight w:val="none"/>
          <w:shd w:val="clear" w:fill="FFFFFF"/>
        </w:rPr>
        <w:t>：（盖章）</w:t>
      </w:r>
    </w:p>
    <w:p w14:paraId="304E88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微软雅黑" w:cs="Times New Roman"/>
          <w:i w:val="0"/>
          <w:iCs w:val="0"/>
          <w:caps w:val="0"/>
          <w:color w:val="333333"/>
          <w:spacing w:val="0"/>
          <w:sz w:val="27"/>
          <w:szCs w:val="27"/>
          <w:highlight w:val="none"/>
          <w:shd w:val="clear" w:fill="FFFFFF"/>
        </w:rPr>
      </w:pPr>
      <w:r>
        <w:rPr>
          <w:rFonts w:hint="default" w:ascii="Times New Roman" w:hAnsi="Times New Roman" w:eastAsia="方正仿宋_GBK" w:cs="Times New Roman"/>
          <w:i w:val="0"/>
          <w:iCs w:val="0"/>
          <w:caps w:val="0"/>
          <w:color w:val="333333"/>
          <w:spacing w:val="0"/>
          <w:sz w:val="28"/>
          <w:szCs w:val="28"/>
          <w:highlight w:val="none"/>
          <w:shd w:val="clear" w:fill="FFFFFF"/>
        </w:rPr>
        <w:t>日</w:t>
      </w: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 xml:space="preserve">    </w:t>
      </w:r>
      <w:r>
        <w:rPr>
          <w:rFonts w:hint="default" w:ascii="Times New Roman" w:hAnsi="Times New Roman" w:eastAsia="方正仿宋_GBK" w:cs="Times New Roman"/>
          <w:i w:val="0"/>
          <w:iCs w:val="0"/>
          <w:caps w:val="0"/>
          <w:color w:val="333333"/>
          <w:spacing w:val="0"/>
          <w:sz w:val="28"/>
          <w:szCs w:val="28"/>
          <w:highlight w:val="none"/>
          <w:shd w:val="clear" w:fill="FFFFFF"/>
        </w:rPr>
        <w:t>期：</w:t>
      </w:r>
    </w:p>
    <w:p w14:paraId="17F8FE1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600" w:lineRule="exact"/>
        <w:ind w:left="0" w:right="0" w:firstLine="42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方正仿宋_GBK" w:cs="Times New Roman"/>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81499-8920-4F6E-ABF5-0A891D612B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2E541AC-A28F-4185-8BCC-3FD2982884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0AE8ABD1-40AC-4253-9D8B-8890E0FBBAA2}"/>
  </w:font>
  <w:font w:name="方正仿宋_GBK">
    <w:panose1 w:val="03000509000000000000"/>
    <w:charset w:val="86"/>
    <w:family w:val="script"/>
    <w:pitch w:val="default"/>
    <w:sig w:usb0="00000001" w:usb1="080E0000" w:usb2="00000000" w:usb3="00000000" w:csb0="00040000" w:csb1="00000000"/>
    <w:embedRegular r:id="rId4" w:fontKey="{8EAA31D6-BB75-4D00-9CA4-51EDEB671812}"/>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AAF15841-BF82-4BFF-979B-2148207254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381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F82A">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89F82A">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14:paraId="2698F708">
        <w:pPr>
          <w:pStyle w:val="12"/>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14:paraId="2612469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D9A5B"/>
    <w:multiLevelType w:val="singleLevel"/>
    <w:tmpl w:val="938D9A5B"/>
    <w:lvl w:ilvl="0" w:tentative="0">
      <w:start w:val="1"/>
      <w:numFmt w:val="decimal"/>
      <w:suff w:val="nothing"/>
      <w:lvlText w:val="（%1）"/>
      <w:lvlJc w:val="left"/>
    </w:lvl>
  </w:abstractNum>
  <w:abstractNum w:abstractNumId="1">
    <w:nsid w:val="EFBBFF8E"/>
    <w:multiLevelType w:val="multilevel"/>
    <w:tmpl w:val="EFBBFF8E"/>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2"/>
      <w:numFmt w:val="decimal"/>
      <w:pStyle w:val="3"/>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tabs>
          <w:tab w:val="left" w:pos="0"/>
        </w:tabs>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abstractNum w:abstractNumId="2">
    <w:nsid w:val="033FAFFF"/>
    <w:multiLevelType w:val="singleLevel"/>
    <w:tmpl w:val="033FAFFF"/>
    <w:lvl w:ilvl="0" w:tentative="0">
      <w:start w:val="1"/>
      <w:numFmt w:val="decimal"/>
      <w:suff w:val="nothing"/>
      <w:lvlText w:val="（%1）"/>
      <w:lvlJc w:val="left"/>
    </w:lvl>
  </w:abstractNum>
  <w:abstractNum w:abstractNumId="3">
    <w:nsid w:val="142846E3"/>
    <w:multiLevelType w:val="singleLevel"/>
    <w:tmpl w:val="142846E3"/>
    <w:lvl w:ilvl="0" w:tentative="0">
      <w:start w:val="1"/>
      <w:numFmt w:val="decimal"/>
      <w:suff w:val="nothing"/>
      <w:lvlText w:val="（%1）"/>
      <w:lvlJc w:val="left"/>
    </w:lvl>
  </w:abstractNum>
  <w:abstractNum w:abstractNumId="4">
    <w:nsid w:val="14427299"/>
    <w:multiLevelType w:val="singleLevel"/>
    <w:tmpl w:val="14427299"/>
    <w:lvl w:ilvl="0" w:tentative="0">
      <w:start w:val="1"/>
      <w:numFmt w:val="decimal"/>
      <w:suff w:val="nothing"/>
      <w:lvlText w:val="（%1）"/>
      <w:lvlJc w:val="left"/>
    </w:lvl>
  </w:abstractNum>
  <w:abstractNum w:abstractNumId="5">
    <w:nsid w:val="170011DF"/>
    <w:multiLevelType w:val="singleLevel"/>
    <w:tmpl w:val="170011DF"/>
    <w:lvl w:ilvl="0" w:tentative="0">
      <w:start w:val="1"/>
      <w:numFmt w:val="decimal"/>
      <w:suff w:val="nothing"/>
      <w:lvlText w:val="（%1）"/>
      <w:lvlJc w:val="left"/>
    </w:lvl>
  </w:abstractNum>
  <w:abstractNum w:abstractNumId="6">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4"/>
      <w:suff w:val="space"/>
      <w:lvlText w:val="%3、"/>
      <w:lvlJc w:val="left"/>
      <w:pPr>
        <w:ind w:left="0" w:firstLine="420"/>
      </w:pPr>
      <w:rPr>
        <w:rFonts w:hint="eastAsia"/>
      </w:rPr>
    </w:lvl>
    <w:lvl w:ilvl="3" w:tentative="0">
      <w:start w:val="1"/>
      <w:numFmt w:val="decimal"/>
      <w:pStyle w:val="2"/>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C704767"/>
    <w:multiLevelType w:val="multilevel"/>
    <w:tmpl w:val="6C704767"/>
    <w:lvl w:ilvl="0" w:tentative="0">
      <w:start w:val="1"/>
      <w:numFmt w:val="decimal"/>
      <w:lvlText w:val="（%1）"/>
      <w:lvlJc w:val="left"/>
      <w:pPr>
        <w:ind w:left="540" w:hanging="5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0F0C3DC3"/>
    <w:rsid w:val="12C9308A"/>
    <w:rsid w:val="155A30D3"/>
    <w:rsid w:val="159E329B"/>
    <w:rsid w:val="167571D0"/>
    <w:rsid w:val="16FA3937"/>
    <w:rsid w:val="17F90F83"/>
    <w:rsid w:val="187E2A36"/>
    <w:rsid w:val="189967EB"/>
    <w:rsid w:val="198A6011"/>
    <w:rsid w:val="199339DE"/>
    <w:rsid w:val="1B0E5853"/>
    <w:rsid w:val="1B5C73CB"/>
    <w:rsid w:val="1F82303C"/>
    <w:rsid w:val="2062104A"/>
    <w:rsid w:val="20827F66"/>
    <w:rsid w:val="21CB5418"/>
    <w:rsid w:val="24CA1D09"/>
    <w:rsid w:val="24E10366"/>
    <w:rsid w:val="24EA6547"/>
    <w:rsid w:val="263D2305"/>
    <w:rsid w:val="268564DD"/>
    <w:rsid w:val="28792866"/>
    <w:rsid w:val="2BEC7003"/>
    <w:rsid w:val="2C247228"/>
    <w:rsid w:val="2F0B17CC"/>
    <w:rsid w:val="2FC04A31"/>
    <w:rsid w:val="307D2FCF"/>
    <w:rsid w:val="30CC162E"/>
    <w:rsid w:val="31354534"/>
    <w:rsid w:val="31BC0BA2"/>
    <w:rsid w:val="32460368"/>
    <w:rsid w:val="32DD7D9A"/>
    <w:rsid w:val="33171638"/>
    <w:rsid w:val="34C226AB"/>
    <w:rsid w:val="36DA1DD6"/>
    <w:rsid w:val="3B1C421D"/>
    <w:rsid w:val="3BD35C71"/>
    <w:rsid w:val="3DD22B86"/>
    <w:rsid w:val="3E466D74"/>
    <w:rsid w:val="42C06A3C"/>
    <w:rsid w:val="445865E5"/>
    <w:rsid w:val="45495A05"/>
    <w:rsid w:val="46367DBF"/>
    <w:rsid w:val="465E0EE8"/>
    <w:rsid w:val="46E2098A"/>
    <w:rsid w:val="470F3D48"/>
    <w:rsid w:val="4A2A4B22"/>
    <w:rsid w:val="4A330BE3"/>
    <w:rsid w:val="4AD652DE"/>
    <w:rsid w:val="4B170BB7"/>
    <w:rsid w:val="4C0A22F1"/>
    <w:rsid w:val="4D3C7046"/>
    <w:rsid w:val="4D86770C"/>
    <w:rsid w:val="4D954A8F"/>
    <w:rsid w:val="4E6B74B7"/>
    <w:rsid w:val="50AC1FA0"/>
    <w:rsid w:val="532F31A9"/>
    <w:rsid w:val="552159DD"/>
    <w:rsid w:val="56686E91"/>
    <w:rsid w:val="575B2C00"/>
    <w:rsid w:val="579C074D"/>
    <w:rsid w:val="59892792"/>
    <w:rsid w:val="59CB00AF"/>
    <w:rsid w:val="5A4B2513"/>
    <w:rsid w:val="5AB078E9"/>
    <w:rsid w:val="5AEB55B9"/>
    <w:rsid w:val="5B091225"/>
    <w:rsid w:val="5B501CFC"/>
    <w:rsid w:val="5EDD4798"/>
    <w:rsid w:val="5F0B6879"/>
    <w:rsid w:val="5FF91F45"/>
    <w:rsid w:val="6022379A"/>
    <w:rsid w:val="608F0419"/>
    <w:rsid w:val="60F15F42"/>
    <w:rsid w:val="61081953"/>
    <w:rsid w:val="61756C12"/>
    <w:rsid w:val="618159FF"/>
    <w:rsid w:val="62590C5D"/>
    <w:rsid w:val="67024A05"/>
    <w:rsid w:val="675B6E7D"/>
    <w:rsid w:val="67E1286C"/>
    <w:rsid w:val="68696AB2"/>
    <w:rsid w:val="6CF46B9E"/>
    <w:rsid w:val="72223B22"/>
    <w:rsid w:val="731A2D5D"/>
    <w:rsid w:val="749113CE"/>
    <w:rsid w:val="7537599F"/>
    <w:rsid w:val="786D0B32"/>
    <w:rsid w:val="7B7F2766"/>
    <w:rsid w:val="7CFE2616"/>
    <w:rsid w:val="7E860CEF"/>
    <w:rsid w:val="7F264BB1"/>
    <w:rsid w:val="7FCB7D39"/>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numPr>
        <w:ilvl w:val="1"/>
        <w:numId w:val="1"/>
      </w:numPr>
      <w:spacing w:before="120" w:after="120" w:line="360" w:lineRule="auto"/>
      <w:ind w:hanging="210"/>
      <w:outlineLvl w:val="1"/>
    </w:pPr>
    <w:rPr>
      <w:b/>
      <w:bCs/>
      <w:sz w:val="30"/>
      <w:szCs w:val="32"/>
    </w:rPr>
  </w:style>
  <w:style w:type="paragraph" w:styleId="4">
    <w:name w:val="heading 3"/>
    <w:basedOn w:val="1"/>
    <w:next w:val="5"/>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2">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5">
    <w:name w:val="正文2"/>
    <w:basedOn w:val="1"/>
    <w:qFormat/>
    <w:uiPriority w:val="0"/>
    <w:pPr>
      <w:spacing w:line="360" w:lineRule="auto"/>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szCs w:val="20"/>
    </w:rPr>
  </w:style>
  <w:style w:type="paragraph" w:styleId="9">
    <w:name w:val="Body Text Indent"/>
    <w:basedOn w:val="1"/>
    <w:semiHidden/>
    <w:unhideWhenUsed/>
    <w:qFormat/>
    <w:uiPriority w:val="99"/>
    <w:pPr>
      <w:spacing w:after="120"/>
      <w:ind w:left="420" w:leftChars="200"/>
    </w:pPr>
  </w:style>
  <w:style w:type="paragraph" w:styleId="10">
    <w:name w:val="Block Text"/>
    <w:basedOn w:val="1"/>
    <w:qFormat/>
    <w:uiPriority w:val="99"/>
    <w:pPr>
      <w:spacing w:after="120"/>
      <w:ind w:left="1440" w:leftChars="700" w:right="700" w:rightChars="700"/>
    </w:pPr>
  </w:style>
  <w:style w:type="paragraph" w:styleId="11">
    <w:name w:val="Balloon Text"/>
    <w:basedOn w:val="1"/>
    <w:link w:val="27"/>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4"/>
    <w:semiHidden/>
    <w:qFormat/>
    <w:uiPriority w:val="99"/>
    <w:rPr>
      <w:sz w:val="18"/>
      <w:szCs w:val="18"/>
    </w:rPr>
  </w:style>
  <w:style w:type="character" w:customStyle="1" w:styleId="25">
    <w:name w:val="页脚 字符"/>
    <w:basedOn w:val="21"/>
    <w:link w:val="12"/>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1"/>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 w:type="paragraph" w:customStyle="1" w:styleId="3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4">
    <w:name w:val="s"/>
    <w:basedOn w:val="21"/>
    <w:autoRedefine/>
    <w:qFormat/>
    <w:uiPriority w:val="0"/>
  </w:style>
  <w:style w:type="paragraph" w:customStyle="1" w:styleId="35">
    <w:name w:val="首行缩进"/>
    <w:basedOn w:val="1"/>
    <w:autoRedefine/>
    <w:qFormat/>
    <w:uiPriority w:val="0"/>
    <w:rPr>
      <w:rFonts w:ascii="Calibri" w:hAnsi="Calibri"/>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4136</Words>
  <Characters>4290</Characters>
  <Lines>13</Lines>
  <Paragraphs>3</Paragraphs>
  <TotalTime>0</TotalTime>
  <ScaleCrop>false</ScaleCrop>
  <LinksUpToDate>false</LinksUpToDate>
  <CharactersWithSpaces>4456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飞鱼</cp:lastModifiedBy>
  <cp:lastPrinted>2021-05-25T06:59:00Z</cp:lastPrinted>
  <dcterms:modified xsi:type="dcterms:W3CDTF">2024-09-30T13:19:20Z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2052-12.1.0.18276</vt:lpwstr>
  </property>
  <property fmtid="{D5CDD505-2E9C-101B-9397-08002B2CF9AE}" pid="4" name="ICV">
    <vt:lpwstr>7FE9DC7E27344AC18BD89497BBBF109F_13</vt:lpwstr>
  </property>
</Properties>
</file>