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pacing w:line="600" w:lineRule="exact"/>
        <w:jc w:val="center"/>
        <w:textAlignment w:val="auto"/>
        <w:rPr>
          <w:rFonts w:hint="default" w:ascii="Times New Roman" w:hAnsi="Times New Roman" w:eastAsia="黑体" w:cs="Times New Roman"/>
          <w:sz w:val="44"/>
          <w:szCs w:val="44"/>
          <w:highlight w:val="none"/>
        </w:rPr>
      </w:pPr>
      <w:bookmarkStart w:id="2" w:name="_GoBack"/>
      <w:bookmarkEnd w:id="2"/>
      <w:r>
        <w:rPr>
          <w:rFonts w:hint="default" w:ascii="Times New Roman" w:hAnsi="Times New Roman" w:eastAsia="黑体" w:cs="Times New Roman"/>
          <w:sz w:val="44"/>
          <w:szCs w:val="44"/>
          <w:highlight w:val="none"/>
        </w:rPr>
        <w:t>南通市数据局</w:t>
      </w:r>
      <w:r>
        <w:rPr>
          <w:rFonts w:hint="default" w:ascii="Times New Roman" w:hAnsi="Times New Roman" w:eastAsia="黑体" w:cs="Times New Roman"/>
          <w:sz w:val="44"/>
          <w:szCs w:val="44"/>
          <w:highlight w:val="none"/>
          <w:lang w:val="en-US" w:eastAsia="zh-CN"/>
        </w:rPr>
        <w:t>2024年</w:t>
      </w:r>
      <w:r>
        <w:rPr>
          <w:rFonts w:hint="default" w:ascii="Times New Roman" w:hAnsi="Times New Roman" w:eastAsia="黑体" w:cs="Times New Roman"/>
          <w:sz w:val="44"/>
          <w:szCs w:val="44"/>
          <w:highlight w:val="none"/>
        </w:rPr>
        <w:t>数字政府项目立项材料编制服务竞争性磋商采购需求</w:t>
      </w:r>
    </w:p>
    <w:p>
      <w:pPr>
        <w:keepNext w:val="0"/>
        <w:keepLines w:val="0"/>
        <w:pageBreakBefore w:val="0"/>
        <w:kinsoku/>
        <w:overflowPunct/>
        <w:topLinePunct w:val="0"/>
        <w:bidi w:val="0"/>
        <w:spacing w:line="600" w:lineRule="exact"/>
        <w:ind w:firstLine="720" w:firstLineChars="225"/>
        <w:textAlignment w:val="auto"/>
        <w:rPr>
          <w:rFonts w:hint="default" w:ascii="Times New Roman" w:hAnsi="Times New Roman" w:eastAsia="方正仿宋_GBK" w:cs="Times New Roman"/>
          <w:sz w:val="32"/>
          <w:szCs w:val="32"/>
          <w:highlight w:val="none"/>
        </w:rPr>
      </w:pPr>
    </w:p>
    <w:p>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方正仿宋_GBK" w:cs="Times New Roman"/>
          <w:color w:val="000000"/>
          <w:sz w:val="32"/>
          <w:szCs w:val="32"/>
          <w:lang w:val="en-US" w:eastAsia="zh-CN"/>
        </w:rPr>
      </w:pPr>
      <w:bookmarkStart w:id="0" w:name="_Toc344724549"/>
      <w:r>
        <w:rPr>
          <w:rFonts w:hint="default" w:ascii="Times New Roman" w:hAnsi="Times New Roman" w:eastAsia="黑体" w:cs="Times New Roman"/>
          <w:kern w:val="2"/>
          <w:sz w:val="32"/>
          <w:szCs w:val="32"/>
          <w:highlight w:val="none"/>
          <w:lang w:val="en-US" w:eastAsia="zh-CN" w:bidi="ar-SA"/>
        </w:rPr>
        <w:t>一、</w:t>
      </w:r>
      <w:r>
        <w:rPr>
          <w:rFonts w:hint="default" w:ascii="Times New Roman" w:hAnsi="Times New Roman" w:eastAsia="黑体" w:cs="Times New Roman"/>
          <w:sz w:val="32"/>
          <w:szCs w:val="32"/>
          <w:highlight w:val="none"/>
        </w:rPr>
        <w:t>基本情况</w:t>
      </w:r>
      <w:bookmarkStart w:id="1" w:name="_Hlk70068067"/>
    </w:p>
    <w:p>
      <w:pPr>
        <w:pStyle w:val="29"/>
        <w:keepNext w:val="0"/>
        <w:keepLines w:val="0"/>
        <w:pageBreakBefore w:val="0"/>
        <w:numPr>
          <w:ilvl w:val="0"/>
          <w:numId w:val="0"/>
        </w:numPr>
        <w:tabs>
          <w:tab w:val="left" w:pos="5325"/>
        </w:tabs>
        <w:kinsoku/>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根据《南通市市级政务信息化项目管理办法》（通政办发〔2021〕53号）要求，信息化项目的立项报批文件需委托具有相应资质和能力的设计单位进行编制。为做好我局信息化项目立项文件编制报批工作，拟委托有相关业务能力的第三方咨询公司，完成立项材料（项目建议书、项目可行性研究报告、项目初步设计等）编制工作，并协助完成项目材料送审、论证、报批等工作。</w:t>
      </w:r>
    </w:p>
    <w:p>
      <w:pPr>
        <w:pStyle w:val="29"/>
        <w:keepNext w:val="0"/>
        <w:keepLines w:val="0"/>
        <w:pageBreakBefore w:val="0"/>
        <w:numPr>
          <w:ilvl w:val="0"/>
          <w:numId w:val="0"/>
        </w:numPr>
        <w:tabs>
          <w:tab w:val="left" w:pos="5325"/>
        </w:tabs>
        <w:kinsoku/>
        <w:overflowPunct/>
        <w:topLinePunct w:val="0"/>
        <w:bidi w:val="0"/>
        <w:snapToGrid w:val="0"/>
        <w:spacing w:line="600" w:lineRule="exact"/>
        <w:ind w:firstLine="640" w:firstLineChars="200"/>
        <w:contextualSpacing/>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方正仿宋_GBK" w:cs="Times New Roman"/>
          <w:color w:val="000000"/>
          <w:sz w:val="32"/>
          <w:szCs w:val="32"/>
          <w:lang w:val="en-US" w:eastAsia="zh-CN"/>
        </w:rPr>
        <w:t>南通市数据局2024年度数字政府项目立项材料编制服务总预算3.82万元，具体包括：（1）市县一体化政务服务平台营商环境优化升级项目，投资估算130万元，编制预算1.82万元；（2）市工程建设项目审批管理系统改造，投资估算50万元，编制预算0.88万元；（3）公共资源交易营商环境动态监测模块建设，投资估算80万元，编制预算1.12万元。</w:t>
      </w:r>
    </w:p>
    <w:p>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二、</w:t>
      </w:r>
      <w:r>
        <w:rPr>
          <w:rFonts w:hint="default" w:ascii="Times New Roman" w:hAnsi="Times New Roman" w:eastAsia="黑体" w:cs="Times New Roman"/>
          <w:sz w:val="32"/>
          <w:szCs w:val="32"/>
          <w:highlight w:val="none"/>
          <w:lang w:eastAsia="zh-CN"/>
        </w:rPr>
        <w:t>服务</w:t>
      </w:r>
      <w:r>
        <w:rPr>
          <w:rFonts w:hint="default" w:ascii="Times New Roman" w:hAnsi="Times New Roman" w:eastAsia="黑体" w:cs="Times New Roman"/>
          <w:sz w:val="32"/>
          <w:szCs w:val="32"/>
          <w:highlight w:val="none"/>
        </w:rPr>
        <w:t>内容</w:t>
      </w:r>
      <w:bookmarkEnd w:id="1"/>
    </w:p>
    <w:p>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供应商根据采购单位提供的项目建设方案等材料，开展现场调研、需求确认等工作，完成项目建议书、可行性研究报告、初步设计方案的编制，并协助采购单位完成材料送审、论证、报批等工作。</w:t>
      </w:r>
    </w:p>
    <w:p>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（1）项目建议书要对项目建设的必要性、主要建设内容、拟建地点、拟建规模、投资匡算、资金筹措以及社会效益和经济效益等进行初步分析，并附相关文件资料。</w:t>
      </w:r>
    </w:p>
    <w:p>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在充分分析项目技术经济可行性、社会效益和落实主要建设条件的基础上，编制项目可行性研究报告。项目可行性研究报告应当包含项目的开发、实施部署、监理以及重要设备、材料等采购活动的具体招标范围、招标组织形式和招标方式等内容。</w:t>
      </w:r>
    </w:p>
    <w:p>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（3）初步设计及其提出的概算应当符合可行性研究报告批复文件以及国家、省、市有关标准和规范的要求，且投资概算应当包括国家、省、市规定的项目建设所需的全部费用。</w:t>
      </w:r>
    </w:p>
    <w:p>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三、编制要求</w:t>
      </w:r>
    </w:p>
    <w:p>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（1）供应商具备编制政务信息化项目建议书、可行性研究报告和初步设计方案的资质和能力。</w:t>
      </w:r>
    </w:p>
    <w:p>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在立项材料编制服务中须遵循“预见性、客观公正性、可靠性、科学性、合规性”等基本要求，充分理解和维护采购单位的项目需求，杜绝倾向于项目的供应商或者存在立项材料编制之外的关联关系；构建严格的内控制度，实施内部质量控制，确保工作质量；严守职业道德和廉洁纪律，构建严格有效的内部质量控制体系，接受采购单位的指导和监督。</w:t>
      </w:r>
    </w:p>
    <w:p>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（3）供应商按照国家、省和市有关要求完成材料编制，材料经采购人确认后，协助采购单位完成材料送审、论证、报批等工作。</w:t>
      </w:r>
    </w:p>
    <w:p>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四、服务要求</w:t>
      </w:r>
    </w:p>
    <w:p>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供应商应构建严格的内控制度，实施内部质量控制，确保工作质量。供应商应严守职业道德和廉洁纪律，构建严格有效的内部质量控制体系，接受采购单位的指导和监督。</w:t>
      </w:r>
    </w:p>
    <w:p>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方正仿宋_GBK" w:cs="Times New Roman"/>
          <w:color w:val="000000"/>
          <w:sz w:val="32"/>
          <w:szCs w:val="32"/>
        </w:rPr>
        <w:t>供应商应成立项目组，配备足够的专业技术力量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供应商需在响应文件中明确1名项目负责人，且必须具备至少10年的工作经验；供应商需在响应文件中明确项目组成员及分组名单，项目组成员不得少于</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人（含项目负责人），项目组成员必须全程提供现场服务。项目组成员一经确定，不得随意变更。</w:t>
      </w:r>
    </w:p>
    <w:bookmarkEnd w:id="0"/>
    <w:p>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、合同签订</w:t>
      </w:r>
    </w:p>
    <w:p>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中标结果</w:t>
      </w:r>
      <w:r>
        <w:rPr>
          <w:rFonts w:hint="default" w:ascii="Times New Roman" w:hAnsi="Times New Roman" w:eastAsia="方正仿宋_GBK" w:cs="Times New Roman"/>
          <w:color w:val="000000"/>
          <w:sz w:val="32"/>
          <w:szCs w:val="32"/>
          <w:lang w:val="zh-CN"/>
        </w:rPr>
        <w:t>公示结束后，</w:t>
      </w:r>
      <w:r>
        <w:rPr>
          <w:rFonts w:hint="default" w:ascii="Times New Roman" w:hAnsi="Times New Roman" w:eastAsia="方正仿宋_GBK" w:cs="Times New Roman"/>
          <w:color w:val="000000"/>
          <w:sz w:val="32"/>
          <w:szCs w:val="32"/>
          <w:lang w:val="en-US" w:eastAsia="zh-CN"/>
        </w:rPr>
        <w:t>按照中标价</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zh-CN"/>
        </w:rPr>
        <w:t>个工作日内签订合同。</w:t>
      </w:r>
    </w:p>
    <w:p>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、付款方式</w:t>
      </w:r>
    </w:p>
    <w:p>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供应商完成项目建议书、可行性研究报告及初步设计文件的编制，并协助完成材料送审、论证、报批工作，待所有项目批复完成，采购人一次性</w:t>
      </w:r>
      <w:r>
        <w:rPr>
          <w:rFonts w:hint="default" w:ascii="Times New Roman" w:hAnsi="Times New Roman" w:eastAsia="方正仿宋_GBK" w:cs="Times New Roman"/>
          <w:color w:val="000000"/>
          <w:sz w:val="32"/>
          <w:szCs w:val="32"/>
          <w:lang w:val="en-US" w:eastAsia="zh-CN"/>
        </w:rPr>
        <w:t>支付</w:t>
      </w:r>
      <w:r>
        <w:rPr>
          <w:rFonts w:hint="default" w:ascii="Times New Roman" w:hAnsi="Times New Roman" w:eastAsia="方正仿宋_GBK" w:cs="Times New Roman"/>
          <w:color w:val="000000"/>
          <w:sz w:val="32"/>
          <w:szCs w:val="32"/>
        </w:rPr>
        <w:t>合同总款。</w:t>
      </w:r>
    </w:p>
    <w:p>
      <w:pPr>
        <w:keepNext w:val="0"/>
        <w:keepLines w:val="0"/>
        <w:pageBreakBefore w:val="0"/>
        <w:widowControl w:val="0"/>
        <w:tabs>
          <w:tab w:val="left" w:pos="5325"/>
        </w:tabs>
        <w:kinsoku/>
        <w:wordWrap/>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、投标供应商资格要求</w:t>
      </w:r>
    </w:p>
    <w:p>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1、符合《中华人民共和国政府采购法》第22条规定；</w:t>
      </w:r>
    </w:p>
    <w:p>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2、具有合法经营资格并能承担完全民事责任的独立法人；</w:t>
      </w:r>
    </w:p>
    <w:p>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Times New Roman"/>
          <w:color w:val="000000"/>
          <w:kern w:val="2"/>
          <w:sz w:val="32"/>
          <w:szCs w:val="32"/>
          <w:lang w:val="zh-CN" w:eastAsia="zh-CN" w:bidi="ar-SA"/>
        </w:rPr>
        <w:t>未被“信用中国”网站列入失信被执行人、重大税收违法案件当事人名单、政府采购严重失信行为记录名单；</w:t>
      </w:r>
    </w:p>
    <w:p>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4</w:t>
      </w:r>
      <w:r>
        <w:rPr>
          <w:rFonts w:hint="default" w:ascii="Times New Roman" w:hAnsi="Times New Roman" w:eastAsia="方正仿宋_GBK" w:cs="Times New Roman"/>
          <w:color w:val="000000"/>
          <w:kern w:val="2"/>
          <w:sz w:val="32"/>
          <w:szCs w:val="32"/>
          <w:lang w:val="en-US" w:eastAsia="zh-CN" w:bidi="ar-SA"/>
        </w:rPr>
        <w:t>、本项目不接受联合体参与投标。</w:t>
      </w:r>
    </w:p>
    <w:p>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2"/>
          <w:sz w:val="32"/>
          <w:szCs w:val="32"/>
          <w:highlight w:val="none"/>
          <w:lang w:val="en-US" w:eastAsia="zh-CN" w:bidi="ar-SA"/>
        </w:rPr>
        <w:t>投标文件的组成</w:t>
      </w:r>
    </w:p>
    <w:p>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投标</w:t>
      </w:r>
      <w:r>
        <w:rPr>
          <w:rFonts w:hint="default" w:ascii="Times New Roman" w:hAnsi="Times New Roman" w:eastAsia="方正仿宋_GBK" w:cs="Times New Roman"/>
          <w:b/>
          <w:sz w:val="32"/>
          <w:szCs w:val="32"/>
          <w:highlight w:val="none"/>
        </w:rPr>
        <w:t>文件由商务技术响应文件、价格响应文件</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部分组成。</w:t>
      </w:r>
    </w:p>
    <w:p>
      <w:pPr>
        <w:keepNext w:val="0"/>
        <w:keepLines w:val="0"/>
        <w:pageBreakBefore w:val="0"/>
        <w:widowControl w:val="0"/>
        <w:kinsoku/>
        <w:wordWrap/>
        <w:overflowPunct/>
        <w:topLinePunct w:val="0"/>
        <w:bidi w:val="0"/>
        <w:snapToGrid w:val="0"/>
        <w:spacing w:line="600" w:lineRule="exact"/>
        <w:ind w:firstLine="643" w:firstLineChars="200"/>
        <w:contextualSpacing/>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(一)</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商务技术</w:t>
      </w:r>
      <w:r>
        <w:rPr>
          <w:rFonts w:hint="default" w:ascii="Times New Roman" w:hAnsi="Times New Roman" w:eastAsia="方正仿宋_GBK" w:cs="Times New Roman"/>
          <w:b/>
          <w:sz w:val="32"/>
          <w:szCs w:val="32"/>
          <w:highlight w:val="none"/>
        </w:rPr>
        <w:t>响应文件（</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不得出现报价</w:t>
      </w:r>
      <w:r>
        <w:rPr>
          <w:rFonts w:hint="default" w:ascii="Times New Roman" w:hAnsi="Times New Roman" w:eastAsia="方正仿宋_GBK"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sz w:val="32"/>
          <w:szCs w:val="32"/>
          <w:highlight w:val="none"/>
        </w:rPr>
        <w:t>一正</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副，单独密封装订）：</w:t>
      </w:r>
    </w:p>
    <w:p>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zh-CN" w:eastAsia="zh-CN" w:bidi="ar-SA"/>
        </w:rPr>
        <w:t>1、法定代表人参加投标的，提供法定代表人身份证复印件（加盖公章）；授权委托人参加投标的，提供法定代表人授权委托书、法定代表人和授权委托人身份证复印件（加盖公章）；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营业执照复印件（加盖公章）；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3、信用中国信用信息报告</w:t>
      </w:r>
      <w:r>
        <w:rPr>
          <w:rFonts w:hint="default" w:ascii="Times New Roman" w:hAnsi="Times New Roman" w:eastAsia="方正仿宋_GBK" w:cs="Times New Roman"/>
          <w:kern w:val="2"/>
          <w:sz w:val="32"/>
          <w:szCs w:val="32"/>
          <w:highlight w:val="none"/>
          <w:lang w:val="zh-CN" w:eastAsia="zh-CN" w:bidi="ar-SA"/>
        </w:rPr>
        <w:t>（加盖公章）；</w:t>
      </w:r>
    </w:p>
    <w:p>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zh-CN" w:eastAsia="zh-CN" w:bidi="ar-SA"/>
        </w:rPr>
        <w:t>投标承诺函（</w:t>
      </w:r>
      <w:r>
        <w:rPr>
          <w:rFonts w:hint="default" w:ascii="Times New Roman" w:hAnsi="Times New Roman" w:eastAsia="方正仿宋_GBK" w:cs="Times New Roman"/>
          <w:kern w:val="2"/>
          <w:sz w:val="32"/>
          <w:szCs w:val="32"/>
          <w:highlight w:val="none"/>
          <w:lang w:val="en-US" w:eastAsia="zh-CN" w:bidi="ar-SA"/>
        </w:rPr>
        <w:t>见附件一</w:t>
      </w:r>
      <w:r>
        <w:rPr>
          <w:rFonts w:hint="default" w:ascii="Times New Roman" w:hAnsi="Times New Roman" w:eastAsia="方正仿宋_GBK" w:cs="Times New Roman"/>
          <w:kern w:val="2"/>
          <w:sz w:val="32"/>
          <w:szCs w:val="32"/>
          <w:highlight w:val="none"/>
          <w:lang w:val="zh-CN" w:eastAsia="zh-CN" w:bidi="ar-SA"/>
        </w:rPr>
        <w:t>）；</w:t>
      </w:r>
    </w:p>
    <w:p>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en-US" w:eastAsia="zh-CN" w:bidi="ar-SA"/>
        </w:rPr>
        <w:t>5</w:t>
      </w:r>
      <w:r>
        <w:rPr>
          <w:rFonts w:hint="default" w:ascii="Times New Roman" w:hAnsi="Times New Roman" w:eastAsia="方正仿宋_GBK" w:cs="Times New Roman"/>
          <w:kern w:val="2"/>
          <w:sz w:val="32"/>
          <w:szCs w:val="32"/>
          <w:highlight w:val="none"/>
          <w:lang w:val="en-US" w:eastAsia="zh-CN" w:bidi="ar-SA"/>
        </w:rPr>
        <w:t>、响应方案，</w:t>
      </w:r>
      <w:r>
        <w:rPr>
          <w:rFonts w:hint="default" w:ascii="Times New Roman" w:hAnsi="Times New Roman" w:eastAsia="方正仿宋_GBK" w:cs="Times New Roman"/>
          <w:kern w:val="2"/>
          <w:sz w:val="32"/>
          <w:szCs w:val="32"/>
          <w:highlight w:val="none"/>
          <w:lang w:val="zh-CN" w:eastAsia="zh-CN" w:bidi="ar-SA"/>
        </w:rPr>
        <w:t>为方便评委评审，请投标人按评标办法中所涉及的事项顺序进行编制，可以补充相关材料；</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32"/>
          <w:szCs w:val="32"/>
          <w:highlight w:val="none"/>
          <w:lang w:val="en-US" w:eastAsia="zh-CN" w:bidi="ar-SA"/>
        </w:rPr>
        <w:t>6</w:t>
      </w:r>
      <w:r>
        <w:rPr>
          <w:rFonts w:hint="default" w:ascii="Times New Roman" w:hAnsi="Times New Roman" w:eastAsia="方正仿宋_GBK" w:cs="Times New Roman"/>
          <w:kern w:val="2"/>
          <w:sz w:val="32"/>
          <w:szCs w:val="32"/>
          <w:highlight w:val="none"/>
          <w:lang w:val="zh-CN" w:eastAsia="zh-CN" w:bidi="ar-SA"/>
        </w:rPr>
        <w:t>、评标办法中未涉及的事项，投标人认为需要提交的其他资料。</w:t>
      </w:r>
    </w:p>
    <w:p>
      <w:pPr>
        <w:pStyle w:val="2"/>
        <w:keepNext w:val="0"/>
        <w:keepLines w:val="0"/>
        <w:pageBreakBefore w:val="0"/>
        <w:widowControl w:val="0"/>
        <w:kinsoku/>
        <w:wordWrap/>
        <w:overflowPunct/>
        <w:topLinePunct w:val="0"/>
        <w:bidi w:val="0"/>
        <w:spacing w:after="0" w:line="600" w:lineRule="exact"/>
        <w:ind w:left="0" w:leftChars="0" w:firstLine="321" w:firstLineChars="1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二</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rPr>
        <w:t>价格响应文件</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单本</w:t>
      </w:r>
      <w:r>
        <w:rPr>
          <w:rFonts w:hint="default" w:ascii="Times New Roman" w:hAnsi="Times New Roman" w:eastAsia="仿宋" w:cs="Times New Roman"/>
          <w:b/>
          <w:sz w:val="32"/>
          <w:szCs w:val="32"/>
          <w:highlight w:val="none"/>
        </w:rPr>
        <w:t>单独密封装订</w:t>
      </w:r>
      <w:r>
        <w:rPr>
          <w:rFonts w:hint="default" w:ascii="Times New Roman" w:hAnsi="Times New Roman" w:eastAsia="仿宋" w:cs="Times New Roman"/>
          <w:b/>
          <w:sz w:val="32"/>
          <w:szCs w:val="32"/>
          <w:highlight w:val="none"/>
          <w:lang w:eastAsia="zh-CN"/>
        </w:rPr>
        <w:t>）</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zh-CN" w:eastAsia="zh-CN" w:bidi="ar-SA"/>
        </w:rPr>
        <w:t>、</w:t>
      </w:r>
      <w:r>
        <w:rPr>
          <w:rFonts w:hint="default" w:ascii="Times New Roman" w:hAnsi="Times New Roman" w:eastAsia="方正仿宋_GBK" w:cs="Times New Roman"/>
          <w:kern w:val="2"/>
          <w:sz w:val="32"/>
          <w:szCs w:val="32"/>
          <w:highlight w:val="none"/>
          <w:lang w:val="en-US" w:eastAsia="zh-CN" w:bidi="ar-SA"/>
        </w:rPr>
        <w:t>分项</w:t>
      </w:r>
      <w:r>
        <w:rPr>
          <w:rFonts w:hint="default" w:ascii="Times New Roman" w:hAnsi="Times New Roman" w:eastAsia="方正仿宋_GBK" w:cs="Times New Roman"/>
          <w:kern w:val="2"/>
          <w:sz w:val="32"/>
          <w:szCs w:val="32"/>
          <w:highlight w:val="none"/>
          <w:lang w:val="zh-CN" w:eastAsia="zh-CN" w:bidi="ar-SA"/>
        </w:rPr>
        <w:t>明细报价</w:t>
      </w:r>
      <w:r>
        <w:rPr>
          <w:rFonts w:hint="default" w:ascii="Times New Roman" w:hAnsi="Times New Roman" w:eastAsia="方正仿宋_GBK" w:cs="Times New Roman"/>
          <w:kern w:val="2"/>
          <w:sz w:val="32"/>
          <w:szCs w:val="32"/>
          <w:highlight w:val="none"/>
          <w:lang w:val="en-US" w:eastAsia="zh-CN" w:bidi="ar-SA"/>
        </w:rPr>
        <w:t>表；</w:t>
      </w:r>
    </w:p>
    <w:p>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、磋商响应报价表（见附件</w:t>
      </w:r>
      <w:r>
        <w:rPr>
          <w:rFonts w:hint="default" w:ascii="Times New Roman" w:hAnsi="Times New Roman" w:eastAsia="方正仿宋_GBK" w:cs="Times New Roman"/>
          <w:kern w:val="2"/>
          <w:sz w:val="32"/>
          <w:szCs w:val="32"/>
          <w:highlight w:val="none"/>
          <w:lang w:val="en-US" w:eastAsia="zh-CN" w:bidi="ar-SA"/>
        </w:rPr>
        <w:t>二</w:t>
      </w:r>
      <w:r>
        <w:rPr>
          <w:rFonts w:hint="default" w:ascii="Times New Roman" w:hAnsi="Times New Roman" w:eastAsia="方正仿宋_GBK" w:cs="Times New Roman"/>
          <w:kern w:val="2"/>
          <w:sz w:val="32"/>
          <w:szCs w:val="32"/>
          <w:highlight w:val="none"/>
          <w:lang w:val="zh-CN" w:eastAsia="zh-CN" w:bidi="ar-SA"/>
        </w:rPr>
        <w:t>）。</w:t>
      </w:r>
    </w:p>
    <w:p>
      <w:pPr>
        <w:pStyle w:val="2"/>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八、评分标准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采用综合评分法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zh-CN" w:eastAsia="zh-CN"/>
        </w:rPr>
        <w:t>按照供应商</w:t>
      </w:r>
      <w:r>
        <w:rPr>
          <w:rFonts w:hint="default" w:ascii="Times New Roman" w:hAnsi="Times New Roman" w:eastAsia="方正仿宋_GBK" w:cs="Times New Roman"/>
          <w:sz w:val="32"/>
          <w:szCs w:val="32"/>
          <w:highlight w:val="none"/>
          <w:lang w:val="en-US" w:eastAsia="zh-CN"/>
        </w:rPr>
        <w:t>提交的</w:t>
      </w:r>
      <w:r>
        <w:rPr>
          <w:rFonts w:hint="default" w:ascii="Times New Roman" w:hAnsi="Times New Roman" w:eastAsia="方正仿宋_GBK" w:cs="Times New Roman"/>
          <w:sz w:val="32"/>
          <w:szCs w:val="32"/>
          <w:highlight w:val="none"/>
        </w:rPr>
        <w:t>响应文件和最后报价进行综合评分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最终得分最高的为第一成交候选人，在分数相同的情况下由采购人代表现场抽签确定成交候选人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若第一成交候选人弃标的，由第二成交候选人成交，依次类推。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商务技术部分评审结束后，再开启最后报价计算分值。总分值为100分，加分和减分因素除外。</w:t>
      </w:r>
    </w:p>
    <w:p>
      <w:pPr>
        <w:keepNext w:val="0"/>
        <w:keepLines w:val="0"/>
        <w:pageBreakBefore w:val="0"/>
        <w:widowControl w:val="0"/>
        <w:kinsoku/>
        <w:wordWrap/>
        <w:overflowPunct/>
        <w:topLinePunct w:val="0"/>
        <w:bidi w:val="0"/>
        <w:snapToGrid w:val="0"/>
        <w:spacing w:line="600" w:lineRule="exact"/>
        <w:ind w:left="2" w:firstLine="643" w:firstLineChars="200"/>
        <w:jc w:val="left"/>
        <w:textAlignment w:val="auto"/>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pPr>
      <w:r>
        <w:rPr>
          <w:rFonts w:hint="default" w:ascii="Times New Roman" w:hAnsi="Times New Roman" w:eastAsia="方正仿宋_GBK" w:cs="Times New Roman"/>
          <w:b/>
          <w:color w:val="000000" w:themeColor="text1"/>
          <w:sz w:val="32"/>
          <w:szCs w:val="32"/>
          <w:highlight w:val="none"/>
          <w:lang w:val="zh-CN"/>
          <w14:textFill>
            <w14:solidFill>
              <w14:schemeClr w14:val="tx1"/>
            </w14:solidFill>
          </w14:textFill>
        </w:rPr>
        <w:t>商务技术分</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90</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分</w:t>
      </w:r>
    </w:p>
    <w:p>
      <w:pPr>
        <w:keepNext w:val="0"/>
        <w:keepLines w:val="0"/>
        <w:pageBreakBefore w:val="0"/>
        <w:widowControl w:val="0"/>
        <w:kinsoku/>
        <w:wordWrap/>
        <w:overflowPunct/>
        <w:topLinePunct w:val="0"/>
        <w:bidi w:val="0"/>
        <w:snapToGrid w:val="0"/>
        <w:spacing w:line="600" w:lineRule="exact"/>
        <w:contextualSpacing/>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各投标人得分为评委会成员评分的算术平均分，分值保留小数点后两位。</w:t>
      </w:r>
    </w:p>
    <w:tbl>
      <w:tblPr>
        <w:tblStyle w:val="20"/>
        <w:tblW w:w="940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72" w:type="dxa"/>
            <w:vAlign w:val="center"/>
          </w:tcPr>
          <w:p>
            <w:pPr>
              <w:keepNext w:val="0"/>
              <w:keepLines w:val="0"/>
              <w:pageBreakBefore w:val="0"/>
              <w:kinsoku/>
              <w:overflowPunct/>
              <w:topLinePunct w:val="0"/>
              <w:bidi w:val="0"/>
              <w:adjustRightInd w:val="0"/>
              <w:snapToGrid w:val="0"/>
              <w:spacing w:line="600" w:lineRule="exact"/>
              <w:contextualSpacing/>
              <w:jc w:val="center"/>
              <w:textAlignment w:val="auto"/>
              <w:rPr>
                <w:rFonts w:hint="default" w:ascii="Times New Roman" w:hAnsi="Times New Roman" w:cs="Times New Roman"/>
              </w:rPr>
            </w:pPr>
            <w:r>
              <w:rPr>
                <w:rFonts w:hint="default" w:ascii="Times New Roman" w:hAnsi="Times New Roman" w:cs="Times New Roman"/>
                <w:b/>
                <w:bCs/>
                <w:sz w:val="24"/>
                <w:szCs w:val="24"/>
              </w:rPr>
              <w:t>评分项目</w:t>
            </w:r>
          </w:p>
        </w:tc>
        <w:tc>
          <w:tcPr>
            <w:tcW w:w="7397" w:type="dxa"/>
            <w:vAlign w:val="center"/>
          </w:tcPr>
          <w:p>
            <w:pPr>
              <w:keepNext w:val="0"/>
              <w:keepLines w:val="0"/>
              <w:pageBreakBefore w:val="0"/>
              <w:kinsoku/>
              <w:overflowPunct/>
              <w:topLinePunct w:val="0"/>
              <w:bidi w:val="0"/>
              <w:adjustRightInd w:val="0"/>
              <w:snapToGrid w:val="0"/>
              <w:spacing w:line="600" w:lineRule="exact"/>
              <w:contextualSpacing/>
              <w:jc w:val="center"/>
              <w:textAlignment w:val="auto"/>
              <w:rPr>
                <w:rFonts w:hint="default" w:ascii="Times New Roman" w:hAnsi="Times New Roman" w:cs="Times New Roman"/>
              </w:rPr>
            </w:pPr>
            <w:r>
              <w:rPr>
                <w:rFonts w:hint="default" w:ascii="Times New Roman" w:hAnsi="Times New Roman" w:cs="Times New Roman"/>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kinsoku/>
              <w:overflowPunct/>
              <w:topLinePunct w:val="0"/>
              <w:bidi w:val="0"/>
              <w:snapToGrid w:val="0"/>
              <w:spacing w:line="600" w:lineRule="exact"/>
              <w:contextualSpacing/>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供应商资质及实力</w:t>
            </w:r>
          </w:p>
          <w:p>
            <w:pPr>
              <w:keepNext w:val="0"/>
              <w:keepLines w:val="0"/>
              <w:pageBreakBefore w:val="0"/>
              <w:kinsoku/>
              <w:overflowPunct/>
              <w:topLinePunct w:val="0"/>
              <w:bidi w:val="0"/>
              <w:snapToGrid w:val="0"/>
              <w:spacing w:line="600" w:lineRule="exact"/>
              <w:contextualSpacing/>
              <w:jc w:val="center"/>
              <w:textAlignment w:val="auto"/>
              <w:rPr>
                <w:rFonts w:hint="default" w:ascii="Times New Roman" w:hAnsi="Times New Roman" w:cs="Times New Roman"/>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分）</w:t>
            </w:r>
          </w:p>
        </w:tc>
        <w:tc>
          <w:tcPr>
            <w:tcW w:w="7397" w:type="dxa"/>
            <w:vAlign w:val="top"/>
          </w:tcPr>
          <w:p>
            <w:pPr>
              <w:keepNext w:val="0"/>
              <w:keepLines w:val="0"/>
              <w:pageBreakBefore w:val="0"/>
              <w:numPr>
                <w:ilvl w:val="0"/>
                <w:numId w:val="0"/>
              </w:numPr>
              <w:kinsoku/>
              <w:overflowPunct/>
              <w:topLinePunct w:val="0"/>
              <w:bidi w:val="0"/>
              <w:snapToGrid w:val="0"/>
              <w:spacing w:line="600" w:lineRule="exact"/>
              <w:contextualSpacing/>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投标人具有</w:t>
            </w:r>
            <w:r>
              <w:rPr>
                <w:rFonts w:hint="default" w:ascii="Times New Roman" w:hAnsi="Times New Roman" w:eastAsia="宋体" w:cs="Times New Roman"/>
                <w:color w:val="auto"/>
                <w:sz w:val="24"/>
                <w:szCs w:val="24"/>
                <w:highlight w:val="none"/>
                <w:lang w:val="en-US" w:eastAsia="zh-CN"/>
              </w:rPr>
              <w:t>住房和城乡建设部批准的《工程设计电子通信广电行业（通信工程）》资质证书或中国电子工业标准化技术协会信息技术服务分会颁发的《信息技术服务咨询设计标准符合性证书》（ITSS）证书</w:t>
            </w:r>
            <w:r>
              <w:rPr>
                <w:rFonts w:hint="default" w:ascii="Times New Roman" w:hAnsi="Times New Roman"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，得6分。</w:t>
            </w:r>
          </w:p>
          <w:p>
            <w:pPr>
              <w:keepNext w:val="0"/>
              <w:keepLines w:val="0"/>
              <w:pageBreakBefore w:val="0"/>
              <w:numPr>
                <w:ilvl w:val="0"/>
                <w:numId w:val="0"/>
              </w:numPr>
              <w:kinsoku/>
              <w:overflowPunct/>
              <w:topLinePunct w:val="0"/>
              <w:bidi w:val="0"/>
              <w:snapToGrid w:val="0"/>
              <w:spacing w:line="600" w:lineRule="exact"/>
              <w:ind w:leftChars="0"/>
              <w:contextualSpacing/>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.投标人具有软件造价评估机构服务能力贰级</w:t>
            </w:r>
            <w:r>
              <w:rPr>
                <w:rFonts w:hint="default" w:ascii="Times New Roman" w:hAnsi="Times New Roman" w:cs="Times New Roman"/>
                <w:color w:val="auto"/>
                <w:sz w:val="24"/>
                <w:szCs w:val="24"/>
                <w:highlight w:val="none"/>
                <w:lang w:val="en-US" w:eastAsia="zh-CN"/>
              </w:rPr>
              <w:t>及以上的，得6分；壹级的，得3分。</w:t>
            </w:r>
          </w:p>
          <w:p>
            <w:pPr>
              <w:keepNext w:val="0"/>
              <w:keepLines w:val="0"/>
              <w:pageBreakBefore w:val="0"/>
              <w:numPr>
                <w:ilvl w:val="0"/>
                <w:numId w:val="0"/>
              </w:numPr>
              <w:kinsoku/>
              <w:overflowPunct/>
              <w:topLinePunct w:val="0"/>
              <w:bidi w:val="0"/>
              <w:snapToGrid w:val="0"/>
              <w:spacing w:line="600" w:lineRule="exact"/>
              <w:ind w:leftChars="0"/>
              <w:contextualSpacing/>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投标人具有信息安全服务资质证书</w:t>
            </w:r>
            <w:r>
              <w:rPr>
                <w:rFonts w:hint="default" w:ascii="Times New Roman" w:hAnsi="Times New Roman"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得</w:t>
            </w:r>
            <w:r>
              <w:rPr>
                <w:rFonts w:hint="default" w:ascii="Times New Roman" w:hAnsi="Times New Roman"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分。</w:t>
            </w:r>
          </w:p>
          <w:p>
            <w:pPr>
              <w:keepNext w:val="0"/>
              <w:keepLines w:val="0"/>
              <w:pageBreakBefore w:val="0"/>
              <w:kinsoku/>
              <w:overflowPunct/>
              <w:topLinePunct w:val="0"/>
              <w:bidi w:val="0"/>
              <w:snapToGrid w:val="0"/>
              <w:spacing w:line="600" w:lineRule="exact"/>
              <w:contextualSpacing/>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需</w:t>
            </w:r>
            <w:r>
              <w:rPr>
                <w:rFonts w:hint="default" w:ascii="Times New Roman" w:hAnsi="Times New Roman" w:eastAsia="宋体" w:cs="Times New Roman"/>
                <w:color w:val="auto"/>
                <w:sz w:val="24"/>
                <w:szCs w:val="24"/>
                <w:highlight w:val="none"/>
              </w:rPr>
              <w:t>提供相关</w:t>
            </w:r>
            <w:r>
              <w:rPr>
                <w:rFonts w:hint="default" w:ascii="Times New Roman" w:hAnsi="Times New Roman" w:eastAsia="宋体" w:cs="Times New Roman"/>
                <w:color w:val="auto"/>
                <w:sz w:val="24"/>
                <w:szCs w:val="24"/>
                <w:highlight w:val="none"/>
                <w:lang w:val="en-US" w:eastAsia="zh-CN"/>
              </w:rPr>
              <w:t>证书</w:t>
            </w:r>
            <w:r>
              <w:rPr>
                <w:rFonts w:hint="default" w:ascii="Times New Roman" w:hAnsi="Times New Roman" w:eastAsia="宋体" w:cs="Times New Roman"/>
                <w:color w:val="auto"/>
                <w:sz w:val="24"/>
                <w:szCs w:val="24"/>
                <w:highlight w:val="none"/>
              </w:rPr>
              <w:t>复印件加盖</w:t>
            </w:r>
            <w:r>
              <w:rPr>
                <w:rFonts w:hint="default" w:ascii="Times New Roman" w:hAnsi="Times New Roman" w:eastAsia="宋体" w:cs="Times New Roman"/>
                <w:color w:val="auto"/>
                <w:sz w:val="24"/>
                <w:szCs w:val="24"/>
                <w:highlight w:val="none"/>
                <w:lang w:val="en-US" w:eastAsia="zh-CN"/>
              </w:rPr>
              <w:t>投标人</w:t>
            </w:r>
            <w:r>
              <w:rPr>
                <w:rFonts w:hint="default" w:ascii="Times New Roman" w:hAnsi="Times New Roman" w:eastAsia="宋体" w:cs="Times New Roman"/>
                <w:color w:val="auto"/>
                <w:sz w:val="24"/>
                <w:szCs w:val="24"/>
                <w:highlight w:val="none"/>
              </w:rPr>
              <w:t>公章</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证书需在有效期内。</w:t>
            </w:r>
            <w:r>
              <w:rPr>
                <w:rFonts w:hint="default" w:ascii="Times New Roman" w:hAnsi="Times New Roman" w:eastAsia="宋体"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kinsoku/>
              <w:overflowPunct/>
              <w:topLinePunct w:val="0"/>
              <w:bidi w:val="0"/>
              <w:snapToGrid w:val="0"/>
              <w:spacing w:line="600" w:lineRule="exact"/>
              <w:contextualSpacing/>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项目团队</w:t>
            </w:r>
          </w:p>
          <w:p>
            <w:pPr>
              <w:keepNext w:val="0"/>
              <w:keepLines w:val="0"/>
              <w:pageBreakBefore w:val="0"/>
              <w:kinsoku/>
              <w:overflowPunct/>
              <w:topLinePunct w:val="0"/>
              <w:bidi w:val="0"/>
              <w:snapToGrid w:val="0"/>
              <w:spacing w:line="600" w:lineRule="exact"/>
              <w:contextualSpacing/>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实力</w:t>
            </w:r>
          </w:p>
          <w:p>
            <w:pPr>
              <w:keepNext w:val="0"/>
              <w:keepLines w:val="0"/>
              <w:pageBreakBefore w:val="0"/>
              <w:kinsoku/>
              <w:overflowPunct/>
              <w:topLinePunct w:val="0"/>
              <w:bidi w:val="0"/>
              <w:snapToGrid w:val="0"/>
              <w:spacing w:line="600" w:lineRule="exact"/>
              <w:contextualSpacing/>
              <w:jc w:val="center"/>
              <w:textAlignment w:val="auto"/>
              <w:rPr>
                <w:rFonts w:hint="default" w:ascii="Times New Roman" w:hAnsi="Times New Roman" w:cs="Times New Roman"/>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27</w:t>
            </w:r>
            <w:r>
              <w:rPr>
                <w:rFonts w:hint="default" w:ascii="Times New Roman" w:hAnsi="Times New Roman" w:cs="Times New Roman"/>
                <w:sz w:val="24"/>
                <w:szCs w:val="24"/>
              </w:rPr>
              <w:t>分）</w:t>
            </w:r>
          </w:p>
        </w:tc>
        <w:tc>
          <w:tcPr>
            <w:tcW w:w="7397" w:type="dxa"/>
            <w:vAlign w:val="top"/>
          </w:tcPr>
          <w:p>
            <w:pPr>
              <w:keepNext w:val="0"/>
              <w:keepLines w:val="0"/>
              <w:pageBreakBefore w:val="0"/>
              <w:kinsoku/>
              <w:overflowPunct/>
              <w:topLinePunct w:val="0"/>
              <w:bidi w:val="0"/>
              <w:snapToGrid w:val="0"/>
              <w:spacing w:line="600" w:lineRule="exact"/>
              <w:contextualSpacing/>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1.项目经理</w:t>
            </w:r>
            <w:r>
              <w:rPr>
                <w:rFonts w:hint="default" w:ascii="Times New Roman" w:hAnsi="Times New Roman" w:eastAsia="宋体" w:cs="Times New Roman"/>
                <w:color w:val="auto"/>
                <w:sz w:val="24"/>
                <w:szCs w:val="24"/>
                <w:highlight w:val="none"/>
                <w:lang w:val="en-US" w:eastAsia="zh-CN"/>
              </w:rPr>
              <w:t>具备</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1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cs="Times New Roman"/>
                <w:color w:val="auto"/>
                <w:sz w:val="24"/>
                <w:szCs w:val="24"/>
                <w:highlight w:val="none"/>
                <w:lang w:val="en-US" w:eastAsia="zh-CN"/>
              </w:rPr>
              <w:t>电子信息工程</w:t>
            </w:r>
            <w:r>
              <w:rPr>
                <w:rFonts w:hint="default" w:ascii="Times New Roman" w:hAnsi="Times New Roman" w:eastAsia="宋体" w:cs="Times New Roman"/>
                <w:color w:val="auto"/>
                <w:sz w:val="24"/>
                <w:szCs w:val="24"/>
                <w:highlight w:val="none"/>
                <w:lang w:val="en-US" w:eastAsia="zh-CN"/>
              </w:rPr>
              <w:t>高级工程师职称证书、</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2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信息系统项目管理师高级证书、</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3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kern w:val="0"/>
                <w:sz w:val="24"/>
                <w:szCs w:val="24"/>
                <w:highlight w:val="none"/>
              </w:rPr>
              <w:t>系统</w:t>
            </w:r>
            <w:r>
              <w:rPr>
                <w:rFonts w:hint="default" w:ascii="Times New Roman" w:hAnsi="Times New Roman" w:cs="Times New Roman"/>
                <w:color w:val="auto"/>
                <w:kern w:val="0"/>
                <w:sz w:val="24"/>
                <w:szCs w:val="24"/>
                <w:highlight w:val="none"/>
                <w:lang w:val="en-US" w:eastAsia="zh-CN"/>
              </w:rPr>
              <w:t>分析师证书</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4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cs="Times New Roman"/>
                <w:color w:val="auto"/>
                <w:kern w:val="0"/>
                <w:sz w:val="24"/>
                <w:szCs w:val="24"/>
                <w:highlight w:val="none"/>
                <w:lang w:val="en-US" w:eastAsia="zh-CN"/>
              </w:rPr>
              <w:t>信息安全工程师证书</w:t>
            </w:r>
            <w:r>
              <w:rPr>
                <w:rFonts w:hint="default" w:ascii="Times New Roman" w:hAnsi="Times New Roman" w:eastAsia="宋体" w:cs="Times New Roman"/>
                <w:color w:val="auto"/>
                <w:sz w:val="24"/>
                <w:szCs w:val="24"/>
                <w:highlight w:val="none"/>
                <w:lang w:val="en-US" w:eastAsia="zh-CN"/>
              </w:rPr>
              <w:t>，需同一人取得。每有一个证书得3分，本项最高得12分。</w:t>
            </w:r>
          </w:p>
          <w:p>
            <w:pPr>
              <w:keepNext w:val="0"/>
              <w:keepLines w:val="0"/>
              <w:pageBreakBefore w:val="0"/>
              <w:kinsoku/>
              <w:overflowPunct/>
              <w:topLinePunct w:val="0"/>
              <w:bidi w:val="0"/>
              <w:snapToGrid w:val="0"/>
              <w:spacing w:line="600" w:lineRule="exact"/>
              <w:contextualSpacing/>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2.项目组成员中（不含项目经理）具备</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1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信息系统项目管理师高级证书、</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2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信息安全管理人员(CISP)证书、</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3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系统规划与管理师证书、</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4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网络工程师证书、</w:t>
            </w: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5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软件造价评估师证书、⑥系统集成项目管理工程师证书，每有一个证书得3分，本项最高得15分，同一成员多个证书可重复得分，不同成员有同一证书只计算一次得分。</w:t>
            </w:r>
          </w:p>
          <w:p>
            <w:pPr>
              <w:keepNext w:val="0"/>
              <w:keepLines w:val="0"/>
              <w:pageBreakBefore w:val="0"/>
              <w:kinsoku/>
              <w:overflowPunct/>
              <w:topLinePunct w:val="0"/>
              <w:bidi w:val="0"/>
              <w:snapToGrid w:val="0"/>
              <w:spacing w:line="600" w:lineRule="exact"/>
              <w:contextualSpacing/>
              <w:jc w:val="left"/>
              <w:textAlignment w:val="auto"/>
              <w:rPr>
                <w:rFonts w:hint="default" w:ascii="Times New Roman" w:hAnsi="Times New Roman" w:cs="Times New Roman"/>
              </w:rPr>
            </w:pPr>
            <w:r>
              <w:rPr>
                <w:rFonts w:hint="default" w:ascii="Times New Roman" w:hAnsi="Times New Roman" w:eastAsia="宋体" w:cs="Times New Roman"/>
                <w:color w:val="auto"/>
                <w:sz w:val="24"/>
                <w:szCs w:val="24"/>
                <w:highlight w:val="none"/>
                <w:lang w:val="en-US" w:eastAsia="zh-CN"/>
              </w:rPr>
              <w:t>（需提供相关证书复印件</w:t>
            </w:r>
            <w:r>
              <w:rPr>
                <w:rFonts w:hint="default" w:ascii="Times New Roman" w:hAnsi="Times New Roman" w:eastAsia="宋体" w:cs="Times New Roman"/>
                <w:color w:val="auto"/>
                <w:sz w:val="24"/>
                <w:szCs w:val="24"/>
                <w:highlight w:val="none"/>
              </w:rPr>
              <w:t>加盖</w:t>
            </w:r>
            <w:r>
              <w:rPr>
                <w:rFonts w:hint="default" w:ascii="Times New Roman" w:hAnsi="Times New Roman" w:eastAsia="宋体" w:cs="Times New Roman"/>
                <w:color w:val="auto"/>
                <w:sz w:val="24"/>
                <w:szCs w:val="24"/>
                <w:highlight w:val="none"/>
                <w:lang w:val="en-US" w:eastAsia="zh-CN"/>
              </w:rPr>
              <w:t>投标人</w:t>
            </w:r>
            <w:r>
              <w:rPr>
                <w:rFonts w:hint="default" w:ascii="Times New Roman" w:hAnsi="Times New Roman" w:eastAsia="宋体" w:cs="Times New Roman"/>
                <w:color w:val="auto"/>
                <w:sz w:val="24"/>
                <w:szCs w:val="24"/>
                <w:highlight w:val="none"/>
              </w:rPr>
              <w:t>公章</w:t>
            </w:r>
            <w:r>
              <w:rPr>
                <w:rFonts w:hint="default" w:ascii="Times New Roman" w:hAnsi="Times New Roman" w:eastAsia="宋体" w:cs="Times New Roman"/>
                <w:color w:val="auto"/>
                <w:sz w:val="24"/>
                <w:szCs w:val="24"/>
                <w:highlight w:val="none"/>
                <w:lang w:val="en-US" w:eastAsia="zh-CN"/>
              </w:rPr>
              <w:t>及供应商为其缴纳开标当月或上一个月社保证明复印件。）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kinsoku/>
              <w:overflowPunct/>
              <w:topLinePunct w:val="0"/>
              <w:bidi w:val="0"/>
              <w:snapToGrid w:val="0"/>
              <w:spacing w:line="600" w:lineRule="exact"/>
              <w:contextualSpacing/>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业绩案例</w:t>
            </w:r>
          </w:p>
          <w:p>
            <w:pPr>
              <w:keepNext w:val="0"/>
              <w:keepLines w:val="0"/>
              <w:pageBreakBefore w:val="0"/>
              <w:kinsoku/>
              <w:overflowPunct/>
              <w:topLinePunct w:val="0"/>
              <w:bidi w:val="0"/>
              <w:snapToGrid w:val="0"/>
              <w:spacing w:line="600" w:lineRule="exact"/>
              <w:contextualSpacing/>
              <w:jc w:val="center"/>
              <w:textAlignment w:val="auto"/>
              <w:rPr>
                <w:rFonts w:hint="default" w:ascii="Times New Roman" w:hAnsi="Times New Roman" w:cs="Times New Roman"/>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分）</w:t>
            </w:r>
          </w:p>
        </w:tc>
        <w:tc>
          <w:tcPr>
            <w:tcW w:w="7397" w:type="dxa"/>
            <w:vAlign w:val="top"/>
          </w:tcPr>
          <w:p>
            <w:pPr>
              <w:keepNext w:val="0"/>
              <w:keepLines w:val="0"/>
              <w:pageBreakBefore w:val="0"/>
              <w:kinsoku/>
              <w:overflowPunct/>
              <w:topLinePunct w:val="0"/>
              <w:bidi w:val="0"/>
              <w:snapToGrid w:val="0"/>
              <w:spacing w:line="600" w:lineRule="exact"/>
              <w:contextualSpacing/>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w:t>
            </w:r>
            <w:r>
              <w:rPr>
                <w:rFonts w:hint="default" w:ascii="Times New Roman" w:hAnsi="Times New Roman" w:eastAsia="宋体" w:cs="Times New Roman"/>
                <w:color w:val="auto"/>
                <w:sz w:val="24"/>
                <w:szCs w:val="24"/>
                <w:highlight w:val="none"/>
                <w:lang w:val="en-US" w:eastAsia="zh-CN"/>
              </w:rPr>
              <w:t>标人自2021年1月1日（以合同签订时间为准）以来有类</w:t>
            </w:r>
            <w:r>
              <w:rPr>
                <w:rFonts w:hint="default" w:ascii="Times New Roman" w:hAnsi="Times New Roman" w:eastAsia="宋体" w:cs="Times New Roman"/>
                <w:color w:val="auto"/>
                <w:sz w:val="24"/>
                <w:szCs w:val="24"/>
                <w:highlight w:val="none"/>
              </w:rPr>
              <w:t>似信息化项目立项报批文件编制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咨询设计类</w:t>
            </w:r>
            <w:r>
              <w:rPr>
                <w:rFonts w:hint="default" w:ascii="Times New Roman" w:hAnsi="Times New Roman" w:eastAsia="宋体" w:cs="Times New Roman"/>
                <w:color w:val="auto"/>
                <w:sz w:val="24"/>
                <w:szCs w:val="24"/>
                <w:highlight w:val="none"/>
              </w:rPr>
              <w:t>案例的，每提供</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个案例得</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分，最高得</w:t>
            </w:r>
            <w:r>
              <w:rPr>
                <w:rFonts w:hint="default"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分。</w:t>
            </w:r>
          </w:p>
          <w:p>
            <w:pPr>
              <w:keepNext w:val="0"/>
              <w:keepLines w:val="0"/>
              <w:pageBreakBefore w:val="0"/>
              <w:kinsoku/>
              <w:overflowPunct/>
              <w:topLinePunct w:val="0"/>
              <w:bidi w:val="0"/>
              <w:snapToGrid w:val="0"/>
              <w:spacing w:line="600" w:lineRule="exact"/>
              <w:contextualSpacing/>
              <w:jc w:val="left"/>
              <w:textAlignment w:val="auto"/>
              <w:rPr>
                <w:rFonts w:hint="default" w:ascii="Times New Roman" w:hAnsi="Times New Roman" w:cs="Times New Roma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需提供业绩合同</w:t>
            </w:r>
            <w:r>
              <w:rPr>
                <w:rFonts w:hint="default" w:ascii="Times New Roman" w:hAnsi="Times New Roman" w:eastAsia="宋体" w:cs="Times New Roman"/>
                <w:color w:val="auto"/>
                <w:sz w:val="24"/>
                <w:szCs w:val="24"/>
                <w:highlight w:val="none"/>
                <w:lang w:val="en-US" w:eastAsia="zh-CN"/>
              </w:rPr>
              <w:t>关键页</w:t>
            </w:r>
            <w:r>
              <w:rPr>
                <w:rFonts w:hint="default" w:ascii="Times New Roman" w:hAnsi="Times New Roman" w:eastAsia="宋体" w:cs="Times New Roman"/>
                <w:color w:val="auto"/>
                <w:sz w:val="24"/>
                <w:szCs w:val="24"/>
                <w:highlight w:val="none"/>
              </w:rPr>
              <w:t>复印件</w:t>
            </w:r>
            <w:r>
              <w:rPr>
                <w:rFonts w:hint="default" w:ascii="Times New Roman" w:hAnsi="Times New Roman" w:eastAsia="宋体"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center"/>
          </w:tcPr>
          <w:p>
            <w:pPr>
              <w:keepNext w:val="0"/>
              <w:keepLines w:val="0"/>
              <w:pageBreakBefore w:val="0"/>
              <w:kinsoku/>
              <w:overflowPunct/>
              <w:topLinePunct w:val="0"/>
              <w:bidi w:val="0"/>
              <w:snapToGrid w:val="0"/>
              <w:spacing w:line="600" w:lineRule="exact"/>
              <w:contextualSpacing/>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服务方案</w:t>
            </w:r>
          </w:p>
          <w:p>
            <w:pPr>
              <w:keepNext w:val="0"/>
              <w:keepLines w:val="0"/>
              <w:pageBreakBefore w:val="0"/>
              <w:kinsoku/>
              <w:overflowPunct/>
              <w:topLinePunct w:val="0"/>
              <w:bidi w:val="0"/>
              <w:snapToGrid w:val="0"/>
              <w:spacing w:line="600" w:lineRule="exact"/>
              <w:contextualSpacing/>
              <w:jc w:val="center"/>
              <w:textAlignment w:val="auto"/>
              <w:rPr>
                <w:rFonts w:hint="default" w:ascii="Times New Roman" w:hAnsi="Times New Roman" w:cs="Times New Roman"/>
              </w:rPr>
            </w:pP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分）</w:t>
            </w:r>
          </w:p>
        </w:tc>
        <w:tc>
          <w:tcPr>
            <w:tcW w:w="7397" w:type="dxa"/>
            <w:vAlign w:val="top"/>
          </w:tcPr>
          <w:p>
            <w:pPr>
              <w:keepNext w:val="0"/>
              <w:keepLines w:val="0"/>
              <w:pageBreakBefore w:val="0"/>
              <w:kinsoku/>
              <w:overflowPunct/>
              <w:topLinePunct w:val="0"/>
              <w:bidi w:val="0"/>
              <w:spacing w:line="600" w:lineRule="exact"/>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投标人</w:t>
            </w:r>
            <w:r>
              <w:rPr>
                <w:rFonts w:hint="default" w:ascii="Times New Roman" w:hAnsi="Times New Roman" w:cs="Times New Roman"/>
                <w:color w:val="000000"/>
                <w:szCs w:val="21"/>
              </w:rPr>
              <w:t>需提供本项目服务方案及详细的工作计划，其服务方案需准确理解该项目的业务需求，制订详尽的科学的可行的工作方案，明确工作流程。</w:t>
            </w:r>
          </w:p>
          <w:p>
            <w:pPr>
              <w:pStyle w:val="33"/>
              <w:keepNext w:val="0"/>
              <w:keepLines w:val="0"/>
              <w:pageBreakBefore w:val="0"/>
              <w:numPr>
                <w:ilvl w:val="0"/>
                <w:numId w:val="0"/>
              </w:numPr>
              <w:kinsoku/>
              <w:overflowPunct/>
              <w:topLinePunct w:val="0"/>
              <w:bidi w:val="0"/>
              <w:spacing w:line="600" w:lineRule="exact"/>
              <w:ind w:left="0" w:leftChars="0" w:firstLine="0" w:firstLineChars="0"/>
              <w:jc w:val="both"/>
              <w:textAlignment w:val="auto"/>
              <w:rPr>
                <w:rFonts w:hint="default" w:ascii="Times New Roman" w:hAnsi="Times New Roman" w:eastAsia="宋体" w:cs="Times New Roman"/>
                <w:lang w:val="en-US" w:eastAsia="zh-CN"/>
              </w:rPr>
            </w:pPr>
            <w:r>
              <w:rPr>
                <w:rFonts w:hint="default" w:ascii="Times New Roman" w:hAnsi="Times New Roman" w:cs="Times New Roman"/>
                <w:color w:val="000000"/>
                <w:szCs w:val="21"/>
              </w:rPr>
              <w:t>由专家根据服务方案的科学性、完整性、可行性打分，方案优的得2</w:t>
            </w: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33</w:t>
            </w:r>
            <w:r>
              <w:rPr>
                <w:rFonts w:hint="default" w:ascii="Times New Roman" w:hAnsi="Times New Roman" w:cs="Times New Roman"/>
                <w:color w:val="000000"/>
                <w:szCs w:val="21"/>
              </w:rPr>
              <w:t>分；方案良的得1</w:t>
            </w:r>
            <w:r>
              <w:rPr>
                <w:rFonts w:hint="default" w:ascii="Times New Roman" w:hAnsi="Times New Roman" w:cs="Times New Roman"/>
                <w:color w:val="000000"/>
                <w:szCs w:val="21"/>
                <w:lang w:val="en-US" w:eastAsia="zh-CN"/>
              </w:rPr>
              <w:t>6</w:t>
            </w:r>
            <w:r>
              <w:rPr>
                <w:rFonts w:hint="default" w:ascii="Times New Roman" w:hAnsi="Times New Roman" w:cs="Times New Roman"/>
                <w:color w:val="000000"/>
                <w:szCs w:val="21"/>
              </w:rPr>
              <w:t>-2</w:t>
            </w:r>
            <w:r>
              <w:rPr>
                <w:rFonts w:hint="default" w:ascii="Times New Roman" w:hAnsi="Times New Roman" w:cs="Times New Roman"/>
                <w:color w:val="000000"/>
                <w:szCs w:val="21"/>
                <w:lang w:val="en-US" w:eastAsia="zh-CN"/>
              </w:rPr>
              <w:t>4</w:t>
            </w:r>
            <w:r>
              <w:rPr>
                <w:rFonts w:hint="default" w:ascii="Times New Roman" w:hAnsi="Times New Roman" w:cs="Times New Roman"/>
                <w:color w:val="000000"/>
                <w:szCs w:val="21"/>
              </w:rPr>
              <w:t>分；方案合格的得</w:t>
            </w:r>
            <w:r>
              <w:rPr>
                <w:rFonts w:hint="default" w:ascii="Times New Roman" w:hAnsi="Times New Roman" w:cs="Times New Roman"/>
                <w:color w:val="000000"/>
                <w:szCs w:val="21"/>
                <w:lang w:val="en-US" w:eastAsia="zh-CN"/>
              </w:rPr>
              <w:t>7</w:t>
            </w:r>
            <w:r>
              <w:rPr>
                <w:rFonts w:hint="default" w:ascii="Times New Roman" w:hAnsi="Times New Roman" w:cs="Times New Roman"/>
                <w:color w:val="000000"/>
                <w:szCs w:val="21"/>
              </w:rPr>
              <w:t>-1</w:t>
            </w: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分；方案不合格的得0-</w:t>
            </w:r>
            <w:r>
              <w:rPr>
                <w:rFonts w:hint="default" w:ascii="Times New Roman" w:hAnsi="Times New Roman" w:cs="Times New Roman"/>
                <w:color w:val="000000"/>
                <w:szCs w:val="21"/>
                <w:lang w:val="en-US" w:eastAsia="zh-CN"/>
              </w:rPr>
              <w:t>6</w:t>
            </w:r>
            <w:r>
              <w:rPr>
                <w:rFonts w:hint="default" w:ascii="Times New Roman" w:hAnsi="Times New Roman" w:cs="Times New Roman"/>
                <w:color w:val="000000"/>
                <w:szCs w:val="21"/>
              </w:rPr>
              <w:t>分</w:t>
            </w:r>
            <w:r>
              <w:rPr>
                <w:rFonts w:hint="default" w:ascii="Times New Roman" w:hAnsi="Times New Roman" w:cs="Times New Roman"/>
                <w:color w:val="000000"/>
                <w:szCs w:val="21"/>
                <w:lang w:eastAsia="zh-CN"/>
              </w:rPr>
              <w:t>。</w:t>
            </w:r>
          </w:p>
        </w:tc>
      </w:tr>
    </w:tbl>
    <w:p>
      <w:pPr>
        <w:keepNext w:val="0"/>
        <w:keepLines w:val="0"/>
        <w:pageBreakBefore w:val="0"/>
        <w:widowControl w:val="0"/>
        <w:kinsoku/>
        <w:wordWrap/>
        <w:overflowPunct/>
        <w:topLinePunct w:val="0"/>
        <w:autoSpaceDE w:val="0"/>
        <w:autoSpaceDN w:val="0"/>
        <w:bidi w:val="0"/>
        <w:adjustRightInd w:val="0"/>
        <w:snapToGrid w:val="0"/>
        <w:spacing w:line="600" w:lineRule="exact"/>
        <w:ind w:firstLine="560"/>
        <w:textAlignment w:val="auto"/>
        <w:rPr>
          <w:rFonts w:hint="default" w:ascii="Times New Roman" w:hAnsi="Times New Roman" w:eastAsia="方正仿宋_GBK" w:cs="Times New Roman"/>
          <w:b/>
          <w:color w:val="000000" w:themeColor="text1"/>
          <w:sz w:val="28"/>
          <w:szCs w:val="28"/>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56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color w:val="000000" w:themeColor="text1"/>
          <w:sz w:val="32"/>
          <w:szCs w:val="32"/>
          <w:highlight w:val="none"/>
          <w:lang w:val="zh-CN"/>
          <w14:textFill>
            <w14:solidFill>
              <w14:schemeClr w14:val="tx1"/>
            </w14:solidFill>
          </w14:textFill>
        </w:rPr>
        <w:t>价格分</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0</w:t>
      </w:r>
      <w:r>
        <w:rPr>
          <w:rFonts w:hint="default" w:ascii="Times New Roman" w:hAnsi="Times New Roman" w:eastAsia="方正仿宋_GBK" w:cs="Times New Roman"/>
          <w:color w:val="000000" w:themeColor="text1"/>
          <w:sz w:val="32"/>
          <w:szCs w:val="32"/>
          <w:highlight w:val="none"/>
          <w:lang w:val="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价格标评标基准分为</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0分，满足招标文件要求且投标价格最低的投标报价为评标基准价，其价格分为满分（</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0分），其他投标人的价格分统一按照下列公式计算：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投标报价得分=(投标基准价／最后投标报价)×</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0×100%。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pPr>
        <w:pStyle w:val="2"/>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cs="Times New Roman"/>
          <w:sz w:val="32"/>
          <w:szCs w:val="32"/>
          <w:highlight w:val="none"/>
        </w:rPr>
        <w:sectPr>
          <w:footerReference r:id="rId3" w:type="default"/>
          <w:pgSz w:w="11906" w:h="16838"/>
          <w:pgMar w:top="1560" w:right="1800" w:bottom="1440" w:left="1800" w:header="851" w:footer="657" w:gutter="0"/>
          <w:pgNumType w:fmt="decimal" w:start="1"/>
          <w:cols w:space="425" w:num="1"/>
          <w:docGrid w:type="lines" w:linePitch="312" w:charSpace="0"/>
        </w:sectPr>
      </w:pPr>
    </w:p>
    <w:p>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rPr>
        <w:t>：</w:t>
      </w:r>
    </w:p>
    <w:p>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sz w:val="24"/>
          <w:highlight w:val="none"/>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44"/>
          <w:szCs w:val="44"/>
          <w:highlight w:val="none"/>
          <w:lang w:val="zh-CN" w:eastAsia="zh-CN"/>
        </w:rPr>
        <w:t>投标承诺函</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南通市</w:t>
      </w:r>
      <w:r>
        <w:rPr>
          <w:rFonts w:hint="default" w:ascii="Times New Roman" w:hAnsi="Times New Roman" w:eastAsia="方正仿宋_GBK" w:cs="Times New Roman"/>
          <w:sz w:val="32"/>
          <w:szCs w:val="32"/>
          <w:highlight w:val="none"/>
          <w:lang w:val="en-US" w:eastAsia="zh-CN"/>
        </w:rPr>
        <w:t>数据局</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（供应商名称）郑重承诺：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SA"/>
        </w:rPr>
        <w:t>贵方组织的</w:t>
      </w:r>
      <w:r>
        <w:rPr>
          <w:rFonts w:hint="default" w:ascii="Times New Roman" w:hAnsi="Times New Roman" w:eastAsia="方正仿宋_GBK" w:cs="Times New Roman"/>
          <w:sz w:val="32"/>
          <w:szCs w:val="32"/>
          <w:highlight w:val="none"/>
        </w:rPr>
        <w:t>南通市数据局</w:t>
      </w:r>
      <w:r>
        <w:rPr>
          <w:rFonts w:hint="default" w:ascii="Times New Roman" w:hAnsi="Times New Roman" w:eastAsia="方正仿宋_GBK" w:cs="Times New Roman"/>
          <w:sz w:val="32"/>
          <w:szCs w:val="32"/>
          <w:highlight w:val="none"/>
          <w:lang w:val="en-US" w:eastAsia="zh-CN"/>
        </w:rPr>
        <w:t>2024年</w:t>
      </w:r>
      <w:r>
        <w:rPr>
          <w:rFonts w:hint="default" w:ascii="Times New Roman" w:hAnsi="Times New Roman" w:eastAsia="方正仿宋_GBK" w:cs="Times New Roman"/>
          <w:sz w:val="32"/>
          <w:szCs w:val="32"/>
          <w:highlight w:val="none"/>
        </w:rPr>
        <w:t>数字政府项目立项材料编制服务</w:t>
      </w:r>
      <w:r>
        <w:rPr>
          <w:rFonts w:hint="default" w:ascii="Times New Roman" w:hAnsi="Times New Roman" w:eastAsia="方正仿宋_GBK" w:cs="Times New Roman"/>
          <w:sz w:val="32"/>
          <w:szCs w:val="32"/>
          <w:highlight w:val="none"/>
          <w:lang w:val="en-US" w:eastAsia="zh-CN"/>
        </w:rPr>
        <w:t>采购项目，我</w:t>
      </w:r>
      <w:r>
        <w:rPr>
          <w:rFonts w:hint="default" w:ascii="Times New Roman" w:hAnsi="Times New Roman" w:eastAsia="方正仿宋_GBK" w:cs="Times New Roman"/>
          <w:sz w:val="32"/>
          <w:szCs w:val="32"/>
          <w:highlight w:val="none"/>
        </w:rPr>
        <w:t>单位所提交的材料均为真实的，且能提供满足供应要求的服务内容。</w:t>
      </w:r>
    </w:p>
    <w:p>
      <w:pPr>
        <w:pStyle w:val="2"/>
        <w:keepNext w:val="0"/>
        <w:keepLines w:val="0"/>
        <w:pageBreakBefore w:val="0"/>
        <w:kinsoku/>
        <w:wordWrap/>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承诺人：（公章）</w:t>
      </w:r>
    </w:p>
    <w:p>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年    月   日</w:t>
      </w:r>
    </w:p>
    <w:p>
      <w:pPr>
        <w:pStyle w:val="2"/>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pStyle w:val="2"/>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pStyle w:val="2"/>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pStyle w:val="2"/>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sectPr>
          <w:pgSz w:w="11906" w:h="16838"/>
          <w:pgMar w:top="1560" w:right="1800" w:bottom="1440" w:left="1800" w:header="851" w:footer="657" w:gutter="0"/>
          <w:pgNumType w:fmt="decimal"/>
          <w:cols w:space="425" w:num="1"/>
          <w:docGrid w:type="lines" w:linePitch="312" w:charSpace="0"/>
        </w:sectPr>
      </w:pPr>
    </w:p>
    <w:p>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rPr>
        <w:t>：</w:t>
      </w:r>
    </w:p>
    <w:p>
      <w:pPr>
        <w:keepNext w:val="0"/>
        <w:keepLines w:val="0"/>
        <w:pageBreakBefore w:val="0"/>
        <w:widowControl w:val="0"/>
        <w:kinsoku/>
        <w:wordWrap/>
        <w:overflowPunct/>
        <w:topLinePunct w:val="0"/>
        <w:bidi w:val="0"/>
        <w:snapToGrid w:val="0"/>
        <w:spacing w:line="600" w:lineRule="exact"/>
        <w:jc w:val="center"/>
        <w:textAlignment w:val="auto"/>
        <w:rPr>
          <w:rFonts w:hint="default" w:ascii="Times New Roman" w:hAnsi="Times New Roman" w:eastAsia="方正小标宋_GBK" w:cs="Times New Roman"/>
          <w:kern w:val="2"/>
          <w:sz w:val="44"/>
          <w:szCs w:val="44"/>
          <w:highlight w:val="none"/>
          <w:lang w:val="zh-CN" w:eastAsia="zh-CN" w:bidi="ar-SA"/>
        </w:rPr>
      </w:pPr>
      <w:r>
        <w:rPr>
          <w:rFonts w:hint="default" w:ascii="Times New Roman" w:hAnsi="Times New Roman" w:eastAsia="方正小标宋_GBK" w:cs="Times New Roman"/>
          <w:kern w:val="2"/>
          <w:sz w:val="44"/>
          <w:szCs w:val="44"/>
          <w:highlight w:val="none"/>
          <w:lang w:val="zh-CN" w:eastAsia="zh-CN" w:bidi="ar-SA"/>
        </w:rPr>
        <w:t>磋商响应报价表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rPr>
        <w:t>项目名称：</w:t>
      </w:r>
    </w:p>
    <w:tbl>
      <w:tblPr>
        <w:tblStyle w:val="19"/>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lang w:val="en-US" w:eastAsia="zh-CN"/>
              </w:rPr>
              <w:t>投标</w:t>
            </w:r>
            <w:r>
              <w:rPr>
                <w:rFonts w:hint="default" w:ascii="Times New Roman" w:hAnsi="Times New Roman" w:eastAsia="方正仿宋_GBK" w:cs="Times New Roman"/>
                <w:i w:val="0"/>
                <w:iCs w:val="0"/>
                <w:caps w:val="0"/>
                <w:color w:val="333333"/>
                <w:spacing w:val="0"/>
                <w:sz w:val="28"/>
                <w:szCs w:val="28"/>
                <w:highlight w:val="none"/>
              </w:rPr>
              <w:t>人</w:t>
            </w:r>
            <w:r>
              <w:rPr>
                <w:rFonts w:hint="default" w:ascii="Times New Roman" w:hAnsi="Times New Roman" w:eastAsia="方正仿宋_GBK" w:cs="Times New Roman"/>
                <w:i w:val="0"/>
                <w:iCs w:val="0"/>
                <w:caps w:val="0"/>
                <w:color w:val="333333"/>
                <w:spacing w:val="0"/>
                <w:sz w:val="28"/>
                <w:szCs w:val="28"/>
                <w:highlight w:val="none"/>
                <w:lang w:val="en-US"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bl>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投标单位</w:t>
      </w:r>
      <w:r>
        <w:rPr>
          <w:rFonts w:hint="default" w:ascii="Times New Roman" w:hAnsi="Times New Roman" w:eastAsia="方正仿宋_GBK" w:cs="Times New Roman"/>
          <w:i w:val="0"/>
          <w:iCs w:val="0"/>
          <w:caps w:val="0"/>
          <w:color w:val="333333"/>
          <w:spacing w:val="0"/>
          <w:sz w:val="28"/>
          <w:szCs w:val="28"/>
          <w:highlight w:val="none"/>
          <w:shd w:val="clear" w:fill="FFFFFF"/>
        </w:rPr>
        <w:t>：（盖章）</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微软雅黑" w:cs="Times New Roman"/>
          <w:i w:val="0"/>
          <w:iCs w:val="0"/>
          <w:caps w:val="0"/>
          <w:color w:val="333333"/>
          <w:spacing w:val="0"/>
          <w:sz w:val="27"/>
          <w:szCs w:val="27"/>
          <w:highlight w:val="none"/>
          <w:shd w:val="clear" w:fill="FFFFFF"/>
        </w:rPr>
      </w:pPr>
      <w:r>
        <w:rPr>
          <w:rFonts w:hint="default" w:ascii="Times New Roman" w:hAnsi="Times New Roman" w:eastAsia="方正仿宋_GBK" w:cs="Times New Roman"/>
          <w:i w:val="0"/>
          <w:iCs w:val="0"/>
          <w:caps w:val="0"/>
          <w:color w:val="333333"/>
          <w:spacing w:val="0"/>
          <w:sz w:val="28"/>
          <w:szCs w:val="28"/>
          <w:highlight w:val="none"/>
          <w:shd w:val="clear" w:fill="FFFFFF"/>
        </w:rPr>
        <w:t>日</w:t>
      </w: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 xml:space="preserve">    </w:t>
      </w:r>
      <w:r>
        <w:rPr>
          <w:rFonts w:hint="default" w:ascii="Times New Roman" w:hAnsi="Times New Roman" w:eastAsia="方正仿宋_GBK" w:cs="Times New Roman"/>
          <w:i w:val="0"/>
          <w:iCs w:val="0"/>
          <w:caps w:val="0"/>
          <w:color w:val="333333"/>
          <w:spacing w:val="0"/>
          <w:sz w:val="28"/>
          <w:szCs w:val="28"/>
          <w:highlight w:val="none"/>
          <w:shd w:val="clear" w:fill="FFFFFF"/>
        </w:rPr>
        <w:t>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pPr>
          <w:pStyle w:val="1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6"/>
      <w:suff w:val="space"/>
      <w:lvlText w:val="%3、"/>
      <w:lvlJc w:val="left"/>
      <w:pPr>
        <w:ind w:left="0" w:firstLine="420"/>
      </w:pPr>
      <w:rPr>
        <w:rFonts w:hint="eastAsia"/>
      </w:rPr>
    </w:lvl>
    <w:lvl w:ilvl="3" w:tentative="0">
      <w:start w:val="1"/>
      <w:numFmt w:val="decimal"/>
      <w:pStyle w:val="7"/>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1EB2BD6"/>
    <w:multiLevelType w:val="multilevel"/>
    <w:tmpl w:val="51EB2BD6"/>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1"/>
      <w:numFmt w:val="decimal"/>
      <w:pStyle w:val="4"/>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0F0C3DC3"/>
    <w:rsid w:val="12C9308A"/>
    <w:rsid w:val="155A30D3"/>
    <w:rsid w:val="159E329B"/>
    <w:rsid w:val="167571D0"/>
    <w:rsid w:val="16FA3937"/>
    <w:rsid w:val="17F90F83"/>
    <w:rsid w:val="189967EB"/>
    <w:rsid w:val="198A6011"/>
    <w:rsid w:val="199339DE"/>
    <w:rsid w:val="1B5C73CB"/>
    <w:rsid w:val="1F82303C"/>
    <w:rsid w:val="21CB5418"/>
    <w:rsid w:val="24EA6547"/>
    <w:rsid w:val="263D2305"/>
    <w:rsid w:val="268564DD"/>
    <w:rsid w:val="28792866"/>
    <w:rsid w:val="2BEC7003"/>
    <w:rsid w:val="2C247228"/>
    <w:rsid w:val="2FC04A31"/>
    <w:rsid w:val="31354534"/>
    <w:rsid w:val="31BC0BA2"/>
    <w:rsid w:val="34C226AB"/>
    <w:rsid w:val="3B1C421D"/>
    <w:rsid w:val="3BD35C71"/>
    <w:rsid w:val="3DD22B86"/>
    <w:rsid w:val="3E466D74"/>
    <w:rsid w:val="42C06A3C"/>
    <w:rsid w:val="445865E5"/>
    <w:rsid w:val="45495A05"/>
    <w:rsid w:val="46367DBF"/>
    <w:rsid w:val="465E0EE8"/>
    <w:rsid w:val="470F3D48"/>
    <w:rsid w:val="4A2A4B22"/>
    <w:rsid w:val="4A330BE3"/>
    <w:rsid w:val="4AD652DE"/>
    <w:rsid w:val="4B170BB7"/>
    <w:rsid w:val="4D3C7046"/>
    <w:rsid w:val="4D86770C"/>
    <w:rsid w:val="4D954A8F"/>
    <w:rsid w:val="4E6B74B7"/>
    <w:rsid w:val="552159DD"/>
    <w:rsid w:val="56686E91"/>
    <w:rsid w:val="59892792"/>
    <w:rsid w:val="59CB00AF"/>
    <w:rsid w:val="5A4B2513"/>
    <w:rsid w:val="5AB078E9"/>
    <w:rsid w:val="5AEB55B9"/>
    <w:rsid w:val="5B501CFC"/>
    <w:rsid w:val="5EDD4798"/>
    <w:rsid w:val="5F0B6879"/>
    <w:rsid w:val="5F184CEF"/>
    <w:rsid w:val="5FF91F45"/>
    <w:rsid w:val="6022379A"/>
    <w:rsid w:val="608F0419"/>
    <w:rsid w:val="60F15F42"/>
    <w:rsid w:val="61081953"/>
    <w:rsid w:val="61756C12"/>
    <w:rsid w:val="618159FF"/>
    <w:rsid w:val="62590C5D"/>
    <w:rsid w:val="67024A05"/>
    <w:rsid w:val="675B6E7D"/>
    <w:rsid w:val="67E1286C"/>
    <w:rsid w:val="68696AB2"/>
    <w:rsid w:val="6CF46B9E"/>
    <w:rsid w:val="731A2D5D"/>
    <w:rsid w:val="749113CE"/>
    <w:rsid w:val="786D0B32"/>
    <w:rsid w:val="7B7F2766"/>
    <w:rsid w:val="7F264BB1"/>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5"/>
    <w:qFormat/>
    <w:uiPriority w:val="9"/>
    <w:pPr>
      <w:keepNext/>
      <w:keepLines/>
      <w:numPr>
        <w:ilvl w:val="1"/>
        <w:numId w:val="1"/>
      </w:numPr>
      <w:spacing w:before="120" w:after="120" w:line="360" w:lineRule="auto"/>
      <w:ind w:hanging="210"/>
      <w:outlineLvl w:val="1"/>
    </w:pPr>
    <w:rPr>
      <w:b/>
      <w:bCs/>
      <w:sz w:val="30"/>
      <w:szCs w:val="32"/>
    </w:rPr>
  </w:style>
  <w:style w:type="paragraph" w:styleId="6">
    <w:name w:val="heading 3"/>
    <w:basedOn w:val="1"/>
    <w:next w:val="5"/>
    <w:unhideWhenUsed/>
    <w:qFormat/>
    <w:uiPriority w:val="0"/>
    <w:pPr>
      <w:keepNext/>
      <w:keepLines/>
      <w:numPr>
        <w:ilvl w:val="2"/>
        <w:numId w:val="2"/>
      </w:numPr>
      <w:spacing w:before="100" w:after="100"/>
      <w:ind w:firstLineChars="200"/>
      <w:outlineLvl w:val="2"/>
    </w:pPr>
    <w:rPr>
      <w:rFonts w:eastAsia="仿宋"/>
      <w:b/>
      <w:bCs/>
      <w:sz w:val="28"/>
      <w:szCs w:val="32"/>
    </w:rPr>
  </w:style>
  <w:style w:type="paragraph" w:styleId="7">
    <w:name w:val="heading 4"/>
    <w:basedOn w:val="1"/>
    <w:next w:val="1"/>
    <w:unhideWhenUsed/>
    <w:qFormat/>
    <w:uiPriority w:val="0"/>
    <w:pPr>
      <w:keepNext/>
      <w:keepLines/>
      <w:numPr>
        <w:ilvl w:val="3"/>
        <w:numId w:val="2"/>
      </w:numPr>
      <w:spacing w:before="40" w:after="40"/>
      <w:ind w:firstLine="200" w:firstLineChars="200"/>
      <w:outlineLvl w:val="3"/>
    </w:pPr>
    <w:rPr>
      <w:rFonts w:eastAsia="仿宋" w:asciiTheme="majorHAnsi" w:hAnsiTheme="majorHAnsi"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32"/>
      <w:szCs w:val="24"/>
    </w:rPr>
  </w:style>
  <w:style w:type="paragraph" w:styleId="3">
    <w:name w:val="Body Text Indent"/>
    <w:basedOn w:val="1"/>
    <w:semiHidden/>
    <w:unhideWhenUsed/>
    <w:qFormat/>
    <w:uiPriority w:val="99"/>
    <w:pPr>
      <w:spacing w:after="120"/>
      <w:ind w:left="420" w:leftChars="200"/>
    </w:pPr>
  </w:style>
  <w:style w:type="paragraph" w:customStyle="1" w:styleId="5">
    <w:name w:val="正文2"/>
    <w:basedOn w:val="1"/>
    <w:next w:val="1"/>
    <w:qFormat/>
    <w:uiPriority w:val="0"/>
    <w:pPr>
      <w:spacing w:line="360" w:lineRule="auto"/>
      <w:ind w:firstLine="420" w:firstLineChars="200"/>
    </w:pPr>
  </w:style>
  <w:style w:type="paragraph" w:styleId="8">
    <w:name w:val="annotation text"/>
    <w:basedOn w:val="1"/>
    <w:semiHidden/>
    <w:unhideWhenUsed/>
    <w:qFormat/>
    <w:uiPriority w:val="99"/>
    <w:pPr>
      <w:jc w:val="left"/>
    </w:pPr>
  </w:style>
  <w:style w:type="paragraph" w:styleId="9">
    <w:name w:val="Body Text"/>
    <w:basedOn w:val="1"/>
    <w:next w:val="10"/>
    <w:qFormat/>
    <w:uiPriority w:val="0"/>
    <w:pPr>
      <w:spacing w:after="120"/>
    </w:pPr>
  </w:style>
  <w:style w:type="paragraph" w:styleId="10">
    <w:name w:val="Plain Text"/>
    <w:basedOn w:val="1"/>
    <w:qFormat/>
    <w:uiPriority w:val="0"/>
    <w:rPr>
      <w:rFonts w:ascii="宋体" w:hAnsi="Courier New"/>
      <w:szCs w:val="20"/>
    </w:rPr>
  </w:style>
  <w:style w:type="paragraph" w:styleId="11">
    <w:name w:val="Block Text"/>
    <w:basedOn w:val="1"/>
    <w:qFormat/>
    <w:uiPriority w:val="99"/>
    <w:pPr>
      <w:spacing w:after="120"/>
      <w:ind w:left="1440" w:leftChars="700" w:right="700" w:rightChars="700"/>
    </w:pPr>
  </w:style>
  <w:style w:type="paragraph" w:styleId="12">
    <w:name w:val="Balloon Text"/>
    <w:basedOn w:val="1"/>
    <w:link w:val="27"/>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99"/>
    <w:pPr>
      <w:snapToGrid w:val="0"/>
    </w:pPr>
    <w:rPr>
      <w:rFonts w:ascii="Arial" w:hAnsi="Arial"/>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customStyle="1" w:styleId="23">
    <w:name w:val="正文1"/>
    <w:basedOn w:val="1"/>
    <w:qFormat/>
    <w:uiPriority w:val="0"/>
    <w:pPr>
      <w:spacing w:line="360" w:lineRule="auto"/>
      <w:ind w:firstLine="361"/>
    </w:pPr>
    <w:rPr>
      <w:rFonts w:ascii="宋体" w:hAnsi="宋体"/>
      <w:szCs w:val="24"/>
    </w:rPr>
  </w:style>
  <w:style w:type="character" w:customStyle="1" w:styleId="24">
    <w:name w:val="页眉 字符"/>
    <w:basedOn w:val="21"/>
    <w:link w:val="15"/>
    <w:semiHidden/>
    <w:qFormat/>
    <w:uiPriority w:val="99"/>
    <w:rPr>
      <w:sz w:val="18"/>
      <w:szCs w:val="18"/>
    </w:rPr>
  </w:style>
  <w:style w:type="character" w:customStyle="1" w:styleId="25">
    <w:name w:val="页脚 字符"/>
    <w:basedOn w:val="21"/>
    <w:link w:val="13"/>
    <w:qFormat/>
    <w:uiPriority w:val="99"/>
    <w:rPr>
      <w:sz w:val="18"/>
      <w:szCs w:val="18"/>
    </w:rPr>
  </w:style>
  <w:style w:type="paragraph" w:customStyle="1" w:styleId="26">
    <w:name w:val="p0"/>
    <w:basedOn w:val="1"/>
    <w:qFormat/>
    <w:uiPriority w:val="0"/>
    <w:pPr>
      <w:widowControl/>
    </w:pPr>
    <w:rPr>
      <w:rFonts w:ascii="Calibri" w:hAnsi="Calibri" w:eastAsia="宋体" w:cs="Calibri"/>
      <w:kern w:val="0"/>
      <w:szCs w:val="21"/>
    </w:rPr>
  </w:style>
  <w:style w:type="character" w:customStyle="1" w:styleId="27">
    <w:name w:val="批注框文本 字符"/>
    <w:basedOn w:val="21"/>
    <w:link w:val="12"/>
    <w:semiHidden/>
    <w:qFormat/>
    <w:uiPriority w:val="99"/>
    <w:rPr>
      <w:sz w:val="18"/>
      <w:szCs w:val="18"/>
    </w:rPr>
  </w:style>
  <w:style w:type="paragraph" w:customStyle="1" w:styleId="2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9">
    <w:name w:val="List Paragraph"/>
    <w:basedOn w:val="1"/>
    <w:qFormat/>
    <w:uiPriority w:val="34"/>
    <w:pPr>
      <w:ind w:firstLine="420" w:firstLineChars="200"/>
    </w:pPr>
  </w:style>
  <w:style w:type="paragraph" w:customStyle="1" w:styleId="30">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31">
    <w:name w:val="font31"/>
    <w:basedOn w:val="21"/>
    <w:qFormat/>
    <w:uiPriority w:val="0"/>
    <w:rPr>
      <w:rFonts w:hint="default" w:ascii="Times New Roman" w:hAnsi="Times New Roman" w:cs="Times New Roman"/>
      <w:color w:val="000000"/>
      <w:sz w:val="21"/>
      <w:szCs w:val="21"/>
      <w:u w:val="none"/>
    </w:rPr>
  </w:style>
  <w:style w:type="character" w:customStyle="1" w:styleId="32">
    <w:name w:val="font51"/>
    <w:basedOn w:val="21"/>
    <w:qFormat/>
    <w:uiPriority w:val="0"/>
    <w:rPr>
      <w:rFonts w:hint="eastAsia" w:ascii="宋体" w:hAnsi="宋体" w:eastAsia="宋体" w:cs="宋体"/>
      <w:color w:val="000000"/>
      <w:sz w:val="21"/>
      <w:szCs w:val="21"/>
      <w:u w:val="none"/>
    </w:rPr>
  </w:style>
  <w:style w:type="paragraph" w:customStyle="1" w:styleId="3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3442</Words>
  <Characters>3563</Characters>
  <Lines>13</Lines>
  <Paragraphs>3</Paragraphs>
  <TotalTime>56</TotalTime>
  <ScaleCrop>false</ScaleCrop>
  <LinksUpToDate>false</LinksUpToDate>
  <CharactersWithSpaces>3728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飞鱼</cp:lastModifiedBy>
  <cp:lastPrinted>2021-05-25T06:59:00Z</cp:lastPrinted>
  <dcterms:modified xsi:type="dcterms:W3CDTF">2024-06-18T09:22:13Z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2052-12.1.0.16929</vt:lpwstr>
  </property>
  <property fmtid="{D5CDD505-2E9C-101B-9397-08002B2CF9AE}" pid="4" name="ICV">
    <vt:lpwstr>7FE9DC7E27344AC18BD89497BBBF109F_13</vt:lpwstr>
  </property>
</Properties>
</file>