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E441B">
      <w:pPr>
        <w:pStyle w:val="5"/>
      </w:pPr>
      <w:bookmarkStart w:id="5" w:name="_GoBack"/>
      <w:bookmarkEnd w:id="5"/>
      <w:bookmarkStart w:id="0" w:name="_Hlk70187013"/>
      <w:r>
        <w:rPr>
          <w:rFonts w:hint="eastAsia"/>
        </w:rPr>
        <w:t>南通市数据局信息化集成设备运维</w:t>
      </w:r>
    </w:p>
    <w:p w14:paraId="2B69AE6D">
      <w:pPr>
        <w:pStyle w:val="5"/>
      </w:pPr>
      <w:bookmarkStart w:id="1" w:name="_Hlk70189105"/>
      <w:bookmarkStart w:id="2" w:name="_Hlk70189144"/>
      <w:r>
        <w:rPr>
          <w:rFonts w:hint="eastAsia"/>
        </w:rPr>
        <w:t>项目竞争性磋商采购需求</w:t>
      </w:r>
    </w:p>
    <w:p w14:paraId="10555747">
      <w:pPr>
        <w:tabs>
          <w:tab w:val="left" w:pos="5325"/>
        </w:tabs>
        <w:snapToGrid w:val="0"/>
        <w:ind w:firstLine="640"/>
        <w:contextualSpacing/>
        <w:rPr>
          <w:rFonts w:ascii="黑体" w:hAnsi="黑体" w:eastAsia="黑体" w:cs="Times New Roman"/>
          <w:sz w:val="32"/>
          <w:szCs w:val="32"/>
        </w:rPr>
      </w:pPr>
    </w:p>
    <w:p w14:paraId="350203CE">
      <w:pPr>
        <w:tabs>
          <w:tab w:val="left" w:pos="5325"/>
        </w:tabs>
        <w:snapToGrid w:val="0"/>
        <w:contextualSpacing/>
        <w:rPr>
          <w:rFonts w:ascii="黑体" w:hAnsi="黑体" w:eastAsia="黑体" w:cs="Times New Roman"/>
          <w:sz w:val="32"/>
          <w:szCs w:val="32"/>
        </w:rPr>
      </w:pPr>
      <w:r>
        <w:rPr>
          <w:rFonts w:hint="eastAsia" w:ascii="黑体" w:hAnsi="黑体" w:eastAsia="黑体" w:cs="Times New Roman"/>
          <w:sz w:val="32"/>
          <w:szCs w:val="32"/>
        </w:rPr>
        <w:t>一、项目概况</w:t>
      </w:r>
    </w:p>
    <w:p w14:paraId="2958B47A">
      <w:pPr>
        <w:ind w:firstLine="560" w:firstLineChars="200"/>
        <w:rPr>
          <w:lang w:val="zh-CN"/>
        </w:rPr>
      </w:pPr>
      <w:r>
        <w:rPr>
          <w:rFonts w:hint="eastAsia" w:ascii="Times New Roman" w:hAnsi="Times New Roman" w:eastAsia="方正仿宋_GBK" w:cs="Times New Roman"/>
          <w:sz w:val="28"/>
          <w:szCs w:val="28"/>
        </w:rPr>
        <w:t>本次信息化集成设备运维主要是针对服务器、交换机、存储等通用设备维保服务，数字监控中心平台、流媒体、安全网关、上网行为管理及备份一体机等设备原厂维保和软件升级服务，该项目运维服务到期需重新采购。</w:t>
      </w:r>
    </w:p>
    <w:p w14:paraId="4B108077">
      <w:pPr>
        <w:tabs>
          <w:tab w:val="left" w:pos="5325"/>
        </w:tabs>
        <w:snapToGrid w:val="0"/>
        <w:contextualSpacing/>
        <w:rPr>
          <w:rFonts w:ascii="黑体" w:hAnsi="黑体" w:eastAsia="黑体" w:cs="Times New Roman"/>
          <w:sz w:val="32"/>
          <w:szCs w:val="32"/>
        </w:rPr>
      </w:pPr>
      <w:r>
        <w:rPr>
          <w:rFonts w:hint="eastAsia" w:ascii="黑体" w:hAnsi="黑体" w:eastAsia="黑体" w:cs="Times New Roman"/>
          <w:sz w:val="32"/>
          <w:szCs w:val="32"/>
        </w:rPr>
        <w:t>二、采购内容</w:t>
      </w:r>
    </w:p>
    <w:p w14:paraId="531D2E65">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（一）本次采购的</w:t>
      </w:r>
      <w:r>
        <w:rPr>
          <w:rFonts w:hint="eastAsia" w:ascii="Times New Roman" w:hAnsi="Times New Roman" w:eastAsia="方正仿宋_GBK" w:cs="Times New Roman"/>
          <w:sz w:val="28"/>
          <w:szCs w:val="28"/>
        </w:rPr>
        <w:t>运维</w:t>
      </w:r>
      <w:r>
        <w:rPr>
          <w:rFonts w:ascii="Times New Roman" w:hAnsi="Times New Roman" w:eastAsia="方正仿宋_GBK" w:cs="Times New Roman"/>
          <w:sz w:val="28"/>
          <w:szCs w:val="28"/>
        </w:rPr>
        <w:t>服务范围为</w:t>
      </w:r>
      <w:r>
        <w:rPr>
          <w:rFonts w:hint="eastAsia" w:ascii="Times New Roman" w:hAnsi="Times New Roman" w:eastAsia="方正仿宋_GBK" w:cs="Times New Roman"/>
          <w:sz w:val="28"/>
          <w:szCs w:val="28"/>
        </w:rPr>
        <w:t>运维</w:t>
      </w:r>
      <w:r>
        <w:rPr>
          <w:rFonts w:ascii="Times New Roman" w:hAnsi="Times New Roman" w:eastAsia="方正仿宋_GBK" w:cs="Times New Roman"/>
          <w:sz w:val="28"/>
          <w:szCs w:val="28"/>
        </w:rPr>
        <w:t>清单中所涉及的软硬件设备，服务期限自合同生效之日起一年</w:t>
      </w:r>
      <w:r>
        <w:rPr>
          <w:rFonts w:hint="eastAsia" w:ascii="Times New Roman" w:hAnsi="Times New Roman" w:eastAsia="方正仿宋_GBK" w:cs="Times New Roman"/>
          <w:sz w:val="28"/>
          <w:szCs w:val="28"/>
        </w:rPr>
        <w:t>（监控显示控制主机宇视VS-A8004大屏显示控制主机服务期限为2</w:t>
      </w:r>
      <w:r>
        <w:rPr>
          <w:rFonts w:ascii="Times New Roman" w:hAnsi="Times New Roman" w:eastAsia="方正仿宋_GBK" w:cs="Times New Roman"/>
          <w:sz w:val="28"/>
          <w:szCs w:val="28"/>
        </w:rPr>
        <w:t>024</w:t>
      </w:r>
      <w:r>
        <w:rPr>
          <w:rFonts w:hint="eastAsia" w:ascii="Times New Roman" w:hAnsi="Times New Roman" w:eastAsia="方正仿宋_GBK" w:cs="Times New Roman"/>
          <w:sz w:val="28"/>
          <w:szCs w:val="28"/>
        </w:rPr>
        <w:t>年1</w:t>
      </w:r>
      <w:r>
        <w:rPr>
          <w:rFonts w:ascii="Times New Roman" w:hAnsi="Times New Roman" w:eastAsia="方正仿宋_GBK" w:cs="Times New Roman"/>
          <w:sz w:val="28"/>
          <w:szCs w:val="28"/>
        </w:rPr>
        <w:t>2</w:t>
      </w:r>
      <w:r>
        <w:rPr>
          <w:rFonts w:hint="eastAsia" w:ascii="Times New Roman" w:hAnsi="Times New Roman" w:eastAsia="方正仿宋_GBK" w:cs="Times New Roman"/>
          <w:sz w:val="28"/>
          <w:szCs w:val="28"/>
        </w:rPr>
        <w:t>月至</w:t>
      </w:r>
      <w:r>
        <w:rPr>
          <w:rFonts w:ascii="Times New Roman" w:hAnsi="Times New Roman" w:eastAsia="方正仿宋_GBK" w:cs="Times New Roman"/>
          <w:sz w:val="28"/>
          <w:szCs w:val="28"/>
        </w:rPr>
        <w:t>2025</w:t>
      </w:r>
      <w:r>
        <w:rPr>
          <w:rFonts w:hint="eastAsia" w:ascii="Times New Roman" w:hAnsi="Times New Roman" w:eastAsia="方正仿宋_GBK" w:cs="Times New Roman"/>
          <w:sz w:val="28"/>
          <w:szCs w:val="28"/>
        </w:rPr>
        <w:t>年1</w:t>
      </w:r>
      <w:r>
        <w:rPr>
          <w:rFonts w:ascii="Times New Roman" w:hAnsi="Times New Roman" w:eastAsia="方正仿宋_GBK" w:cs="Times New Roman"/>
          <w:sz w:val="28"/>
          <w:szCs w:val="28"/>
        </w:rPr>
        <w:t>2</w:t>
      </w:r>
      <w:r>
        <w:rPr>
          <w:rFonts w:hint="eastAsia" w:ascii="Times New Roman" w:hAnsi="Times New Roman" w:eastAsia="方正仿宋_GBK" w:cs="Times New Roman"/>
          <w:sz w:val="28"/>
          <w:szCs w:val="28"/>
        </w:rPr>
        <w:t>月）</w:t>
      </w:r>
      <w:r>
        <w:rPr>
          <w:rFonts w:ascii="Times New Roman" w:hAnsi="Times New Roman" w:eastAsia="方正仿宋_GBK" w:cs="Times New Roman"/>
          <w:sz w:val="28"/>
          <w:szCs w:val="28"/>
        </w:rPr>
        <w:t>。</w:t>
      </w:r>
    </w:p>
    <w:p w14:paraId="2189B861">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（二）服务内容</w:t>
      </w:r>
    </w:p>
    <w:p w14:paraId="3B7312FE">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 集成商维保服务</w:t>
      </w:r>
      <w:bookmarkStart w:id="3" w:name="_Hlk528340698"/>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包含服务器、交换机、存储等设备，该部分设备故障后由中标单位进行维修或采用替代产品更换。中标单位负责设备的月度检查、故障排查、报修服务。设备维修需要更换配件的，维修配件由市</w:t>
      </w:r>
      <w:r>
        <w:rPr>
          <w:rFonts w:hint="eastAsia" w:ascii="Times New Roman" w:hAnsi="Times New Roman" w:eastAsia="方正仿宋_GBK" w:cs="Times New Roman"/>
          <w:sz w:val="28"/>
          <w:szCs w:val="28"/>
        </w:rPr>
        <w:t>数据局</w:t>
      </w:r>
      <w:r>
        <w:rPr>
          <w:rFonts w:ascii="Times New Roman" w:hAnsi="Times New Roman" w:eastAsia="方正仿宋_GBK" w:cs="Times New Roman"/>
          <w:sz w:val="28"/>
          <w:szCs w:val="28"/>
        </w:rPr>
        <w:t>负责采购，中标单位负责配件的更换调试。</w:t>
      </w:r>
    </w:p>
    <w:p w14:paraId="48AC6520">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 原厂维保服务</w:t>
      </w:r>
      <w:r>
        <w:rPr>
          <w:rFonts w:hint="eastAsia" w:ascii="Times New Roman" w:hAnsi="Times New Roman" w:eastAsia="方正仿宋_GBK" w:cs="Times New Roman"/>
          <w:sz w:val="28"/>
          <w:szCs w:val="28"/>
        </w:rPr>
        <w:t>：数字监控中心平台、流媒体、安全网关、上网行为管理及备份一体机等</w:t>
      </w:r>
      <w:r>
        <w:rPr>
          <w:rFonts w:ascii="Times New Roman" w:hAnsi="Times New Roman" w:eastAsia="方正仿宋_GBK" w:cs="Times New Roman"/>
          <w:sz w:val="28"/>
          <w:szCs w:val="28"/>
        </w:rPr>
        <w:t>。中标单位需在合同签订时提供原厂商服务承诺函</w:t>
      </w:r>
      <w:r>
        <w:rPr>
          <w:rFonts w:hint="eastAsia" w:ascii="Times New Roman" w:hAnsi="Times New Roman" w:eastAsia="方正仿宋_GBK" w:cs="Times New Roman"/>
          <w:sz w:val="28"/>
          <w:szCs w:val="28"/>
        </w:rPr>
        <w:t>，在</w:t>
      </w:r>
      <w:r>
        <w:rPr>
          <w:rFonts w:ascii="Times New Roman" w:hAnsi="Times New Roman" w:eastAsia="方正仿宋_GBK" w:cs="Times New Roman"/>
          <w:sz w:val="28"/>
          <w:szCs w:val="28"/>
        </w:rPr>
        <w:t>服务期内负责月度检查、故障排查</w:t>
      </w:r>
      <w:r>
        <w:rPr>
          <w:rFonts w:hint="eastAsia" w:ascii="Times New Roman" w:hAnsi="Times New Roman" w:eastAsia="方正仿宋_GBK" w:cs="Times New Roman"/>
          <w:sz w:val="28"/>
          <w:szCs w:val="28"/>
        </w:rPr>
        <w:t>及软件特征库升级</w:t>
      </w:r>
      <w:r>
        <w:rPr>
          <w:rFonts w:ascii="Times New Roman" w:hAnsi="Times New Roman" w:eastAsia="方正仿宋_GBK" w:cs="Times New Roman"/>
          <w:sz w:val="28"/>
          <w:szCs w:val="28"/>
        </w:rPr>
        <w:t>，设备故障后联系原厂提供配件和人工服务等工作。</w:t>
      </w:r>
    </w:p>
    <w:p w14:paraId="18B06813">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3. </w:t>
      </w:r>
      <w:r>
        <w:rPr>
          <w:rFonts w:hint="eastAsia" w:ascii="Times New Roman" w:hAnsi="Times New Roman" w:eastAsia="方正仿宋_GBK" w:cs="Times New Roman"/>
          <w:sz w:val="28"/>
          <w:szCs w:val="28"/>
        </w:rPr>
        <w:t>服务响应：</w:t>
      </w:r>
      <w:r>
        <w:rPr>
          <w:rFonts w:ascii="Times New Roman" w:hAnsi="Times New Roman" w:eastAsia="方正仿宋_GBK" w:cs="Times New Roman"/>
          <w:sz w:val="28"/>
          <w:szCs w:val="28"/>
        </w:rPr>
        <w:t>中标单位在故障报修后30分钟内到场，无需配件的简单问题1小时内修复，复杂问题2小时内提出维修方案，需配件维修的3个自然日内修复（不包括配件采购时间）。</w:t>
      </w:r>
    </w:p>
    <w:bookmarkEnd w:id="3"/>
    <w:p w14:paraId="42956683">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 中标单位应确保采购方重要信息系统全年7*24小时安全、稳定、高效运行。维护范围内任何影响采购方重要业务的软硬件故障，在工作时间维护人员必须在30分钟内立即响应并排查原因，非工作时间接到用户故障电话后应在2小时内响应并排查原因。</w:t>
      </w:r>
    </w:p>
    <w:p w14:paraId="788A7F9C">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 中标单位需根据维保服务需求清单，在中标单位建立备品备件库，以满足采购方计算机信息系统的维修需要。</w:t>
      </w:r>
    </w:p>
    <w:p w14:paraId="744E8392">
      <w:pPr>
        <w:autoSpaceDE w:val="0"/>
        <w:autoSpaceDN w:val="0"/>
        <w:adjustRightInd w:val="0"/>
        <w:snapToGrid w:val="0"/>
        <w:spacing w:before="100" w:after="100" w:line="360" w:lineRule="auto"/>
        <w:ind w:firstLine="600"/>
        <w:contextualSpacing/>
        <w:jc w:val="left"/>
        <w:rPr>
          <w:rFonts w:ascii="Times New Roman" w:hAnsi="Times New Roman" w:eastAsia="仿宋" w:cs="Times New Roman"/>
          <w:kern w:val="0"/>
          <w:sz w:val="30"/>
          <w:szCs w:val="30"/>
          <w:lang w:val="zh-CN"/>
        </w:rPr>
      </w:pPr>
      <w:r>
        <w:rPr>
          <w:rFonts w:hint="eastAsia" w:ascii="Times New Roman" w:hAnsi="Times New Roman" w:eastAsia="仿宋" w:cs="Times New Roman"/>
          <w:kern w:val="0"/>
          <w:sz w:val="30"/>
          <w:szCs w:val="30"/>
          <w:lang w:val="zh-CN"/>
        </w:rPr>
        <w:t>6. 运维</w:t>
      </w:r>
      <w:r>
        <w:rPr>
          <w:rFonts w:ascii="Times New Roman" w:hAnsi="Times New Roman" w:eastAsia="仿宋" w:cs="Times New Roman"/>
          <w:kern w:val="0"/>
          <w:sz w:val="30"/>
          <w:szCs w:val="30"/>
          <w:lang w:val="zh-CN"/>
        </w:rPr>
        <w:t>设备清单</w:t>
      </w:r>
      <w:r>
        <w:rPr>
          <w:rFonts w:hint="eastAsia" w:ascii="Times New Roman" w:hAnsi="Times New Roman" w:eastAsia="仿宋" w:cs="Times New Roman"/>
          <w:kern w:val="0"/>
          <w:sz w:val="30"/>
          <w:szCs w:val="30"/>
          <w:lang w:val="zh-CN"/>
        </w:rPr>
        <w:t>：</w:t>
      </w:r>
    </w:p>
    <w:tbl>
      <w:tblPr>
        <w:tblStyle w:val="11"/>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240"/>
        <w:gridCol w:w="5103"/>
        <w:gridCol w:w="700"/>
        <w:gridCol w:w="727"/>
      </w:tblGrid>
      <w:tr w14:paraId="2735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dxa"/>
            <w:shd w:val="clear" w:color="auto" w:fill="auto"/>
            <w:vAlign w:val="center"/>
          </w:tcPr>
          <w:p w14:paraId="74E516C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240" w:type="dxa"/>
            <w:shd w:val="clear" w:color="auto" w:fill="auto"/>
            <w:vAlign w:val="center"/>
          </w:tcPr>
          <w:p w14:paraId="13A8663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品名</w:t>
            </w:r>
          </w:p>
        </w:tc>
        <w:tc>
          <w:tcPr>
            <w:tcW w:w="5103" w:type="dxa"/>
            <w:shd w:val="clear" w:color="auto" w:fill="auto"/>
            <w:vAlign w:val="center"/>
          </w:tcPr>
          <w:p w14:paraId="3E65A77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配置明细</w:t>
            </w:r>
          </w:p>
        </w:tc>
        <w:tc>
          <w:tcPr>
            <w:tcW w:w="700" w:type="dxa"/>
            <w:shd w:val="clear" w:color="auto" w:fill="auto"/>
            <w:vAlign w:val="center"/>
          </w:tcPr>
          <w:p w14:paraId="5CD75501">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727" w:type="dxa"/>
            <w:shd w:val="clear" w:color="auto" w:fill="auto"/>
            <w:vAlign w:val="center"/>
          </w:tcPr>
          <w:p w14:paraId="4BE4E51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r>
      <w:tr w14:paraId="5AF2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0" w:type="dxa"/>
            <w:gridSpan w:val="5"/>
            <w:shd w:val="clear" w:color="auto" w:fill="auto"/>
            <w:vAlign w:val="center"/>
          </w:tcPr>
          <w:p w14:paraId="56E64504">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一、集成商维保服务</w:t>
            </w:r>
          </w:p>
        </w:tc>
      </w:tr>
      <w:tr w14:paraId="1378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40" w:type="dxa"/>
            <w:shd w:val="clear" w:color="auto" w:fill="auto"/>
            <w:vAlign w:val="center"/>
          </w:tcPr>
          <w:p w14:paraId="25F7D55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40" w:type="dxa"/>
            <w:shd w:val="clear" w:color="auto" w:fill="auto"/>
            <w:vAlign w:val="center"/>
          </w:tcPr>
          <w:p w14:paraId="2FC0394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服务器1</w:t>
            </w:r>
          </w:p>
        </w:tc>
        <w:tc>
          <w:tcPr>
            <w:tcW w:w="5103" w:type="dxa"/>
            <w:shd w:val="clear" w:color="auto" w:fill="auto"/>
            <w:vAlign w:val="center"/>
          </w:tcPr>
          <w:p w14:paraId="7C624E5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DELL PowerEdge R930,配置4个Intel E7-4820 v3处理器，256GB内存，2*300GB SAS磁盘，2个千兆+2个万兆网络接口，双通道8GB光纤卡，DVD光驱，3年原厂服务</w:t>
            </w:r>
          </w:p>
        </w:tc>
        <w:tc>
          <w:tcPr>
            <w:tcW w:w="700" w:type="dxa"/>
            <w:shd w:val="clear" w:color="auto" w:fill="auto"/>
            <w:vAlign w:val="center"/>
          </w:tcPr>
          <w:p w14:paraId="6264D2A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vAlign w:val="center"/>
          </w:tcPr>
          <w:p w14:paraId="50F2F39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r>
      <w:tr w14:paraId="4444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40" w:type="dxa"/>
            <w:shd w:val="clear" w:color="auto" w:fill="auto"/>
            <w:vAlign w:val="center"/>
          </w:tcPr>
          <w:p w14:paraId="1896197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40" w:type="dxa"/>
            <w:shd w:val="clear" w:color="auto" w:fill="auto"/>
            <w:vAlign w:val="center"/>
          </w:tcPr>
          <w:p w14:paraId="515C805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服务器2</w:t>
            </w:r>
          </w:p>
        </w:tc>
        <w:tc>
          <w:tcPr>
            <w:tcW w:w="5103" w:type="dxa"/>
            <w:shd w:val="clear" w:color="auto" w:fill="auto"/>
            <w:vAlign w:val="center"/>
          </w:tcPr>
          <w:p w14:paraId="64B5533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DELL PowerEdge R930,配置4个Intel E7-4820v4处理器，256GB内存，2*300GB SAS磁盘，2个千兆+2个万兆网络接口，双通道8GB光纤卡，DVD光驱，3年原厂服务</w:t>
            </w:r>
          </w:p>
        </w:tc>
        <w:tc>
          <w:tcPr>
            <w:tcW w:w="700" w:type="dxa"/>
            <w:shd w:val="clear" w:color="auto" w:fill="auto"/>
            <w:vAlign w:val="center"/>
          </w:tcPr>
          <w:p w14:paraId="1B46403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vAlign w:val="center"/>
          </w:tcPr>
          <w:p w14:paraId="711B6D8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14:paraId="6E2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40" w:type="dxa"/>
            <w:shd w:val="clear" w:color="auto" w:fill="auto"/>
            <w:vAlign w:val="center"/>
          </w:tcPr>
          <w:p w14:paraId="1D60798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40" w:type="dxa"/>
            <w:shd w:val="clear" w:color="auto" w:fill="auto"/>
            <w:vAlign w:val="center"/>
          </w:tcPr>
          <w:p w14:paraId="1924122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服务器3</w:t>
            </w:r>
          </w:p>
        </w:tc>
        <w:tc>
          <w:tcPr>
            <w:tcW w:w="5103" w:type="dxa"/>
            <w:shd w:val="clear" w:color="auto" w:fill="auto"/>
            <w:vAlign w:val="center"/>
          </w:tcPr>
          <w:p w14:paraId="17D94CA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DELL PowerEdge R730,配置2个Intel E5-2630 v3处理器，64GB内存，2*600GB SAS磁盘，2个千兆+2个万兆端口，3年原厂服务/硬盘不返还/冗余电源</w:t>
            </w:r>
          </w:p>
        </w:tc>
        <w:tc>
          <w:tcPr>
            <w:tcW w:w="700" w:type="dxa"/>
            <w:shd w:val="clear" w:color="auto" w:fill="auto"/>
            <w:vAlign w:val="center"/>
          </w:tcPr>
          <w:p w14:paraId="065E0DB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vAlign w:val="center"/>
          </w:tcPr>
          <w:p w14:paraId="613FF82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14:paraId="78F0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40" w:type="dxa"/>
            <w:shd w:val="clear" w:color="auto" w:fill="auto"/>
            <w:vAlign w:val="center"/>
          </w:tcPr>
          <w:p w14:paraId="708DDE3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40" w:type="dxa"/>
            <w:shd w:val="clear" w:color="auto" w:fill="auto"/>
            <w:vAlign w:val="center"/>
          </w:tcPr>
          <w:p w14:paraId="0D94002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服务器4</w:t>
            </w:r>
          </w:p>
        </w:tc>
        <w:tc>
          <w:tcPr>
            <w:tcW w:w="5103" w:type="dxa"/>
            <w:shd w:val="clear" w:color="auto" w:fill="auto"/>
            <w:vAlign w:val="center"/>
          </w:tcPr>
          <w:p w14:paraId="01D706A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DELL PowerEdge R730,配置1个Intel E5-2609 v3处理器，32GB内存，2*600GB SAS磁盘，2个千兆+2个万兆端口，3年原厂服务/硬盘不返还/冗余电源</w:t>
            </w:r>
          </w:p>
        </w:tc>
        <w:tc>
          <w:tcPr>
            <w:tcW w:w="700" w:type="dxa"/>
            <w:shd w:val="clear" w:color="auto" w:fill="auto"/>
            <w:vAlign w:val="center"/>
          </w:tcPr>
          <w:p w14:paraId="3127F64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vAlign w:val="center"/>
          </w:tcPr>
          <w:p w14:paraId="651F32E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14:paraId="0951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38E38F9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240" w:type="dxa"/>
            <w:shd w:val="clear" w:color="auto" w:fill="auto"/>
            <w:vAlign w:val="center"/>
          </w:tcPr>
          <w:p w14:paraId="0D08899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存储1</w:t>
            </w:r>
          </w:p>
        </w:tc>
        <w:tc>
          <w:tcPr>
            <w:tcW w:w="5103" w:type="dxa"/>
            <w:shd w:val="clear" w:color="auto" w:fill="auto"/>
            <w:vAlign w:val="center"/>
          </w:tcPr>
          <w:p w14:paraId="1B92673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DELL SCv2020双控制器，配置16GB缓存，4个16Gb FC主机接口，配置24块1.2TB SAS磁盘，1个扩展柜24块480G固态磁盘，冗余电源；</w:t>
            </w:r>
          </w:p>
        </w:tc>
        <w:tc>
          <w:tcPr>
            <w:tcW w:w="700" w:type="dxa"/>
            <w:shd w:val="clear" w:color="auto" w:fill="auto"/>
            <w:vAlign w:val="center"/>
          </w:tcPr>
          <w:p w14:paraId="5A8EF6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27" w:type="dxa"/>
            <w:shd w:val="clear" w:color="auto" w:fill="auto"/>
            <w:vAlign w:val="center"/>
          </w:tcPr>
          <w:p w14:paraId="39A4FB8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0B88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144D73F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240" w:type="dxa"/>
            <w:shd w:val="clear" w:color="auto" w:fill="auto"/>
            <w:vAlign w:val="center"/>
          </w:tcPr>
          <w:p w14:paraId="7A67981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存储2</w:t>
            </w:r>
          </w:p>
        </w:tc>
        <w:tc>
          <w:tcPr>
            <w:tcW w:w="5103" w:type="dxa"/>
            <w:shd w:val="clear" w:color="auto" w:fill="auto"/>
            <w:vAlign w:val="center"/>
          </w:tcPr>
          <w:p w14:paraId="7342626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群晖RS18016xs+文件服务器，配置2块240GB固态硬盘作为高速缓存、10块6TB企业级硬盘，1个扩展柜12块10TB企业级硬盘</w:t>
            </w:r>
          </w:p>
        </w:tc>
        <w:tc>
          <w:tcPr>
            <w:tcW w:w="700" w:type="dxa"/>
            <w:shd w:val="clear" w:color="auto" w:fill="auto"/>
            <w:vAlign w:val="center"/>
          </w:tcPr>
          <w:p w14:paraId="54C5DE2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27" w:type="dxa"/>
            <w:shd w:val="clear" w:color="auto" w:fill="auto"/>
            <w:vAlign w:val="center"/>
          </w:tcPr>
          <w:p w14:paraId="45E8B58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76D9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0CFD57F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240" w:type="dxa"/>
            <w:shd w:val="clear" w:color="auto" w:fill="auto"/>
            <w:vAlign w:val="center"/>
          </w:tcPr>
          <w:p w14:paraId="6E2580B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存储3</w:t>
            </w:r>
          </w:p>
        </w:tc>
        <w:tc>
          <w:tcPr>
            <w:tcW w:w="5103" w:type="dxa"/>
            <w:shd w:val="clear" w:color="auto" w:fill="auto"/>
            <w:vAlign w:val="center"/>
          </w:tcPr>
          <w:p w14:paraId="2FC6E2D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DELL PowerVault MD3820f双控制器，配置16GB缓存，8个16Gb FC主机接口，配置24块1.2TB SAS磁盘，冗余电源</w:t>
            </w:r>
          </w:p>
        </w:tc>
        <w:tc>
          <w:tcPr>
            <w:tcW w:w="700" w:type="dxa"/>
            <w:shd w:val="clear" w:color="auto" w:fill="auto"/>
            <w:vAlign w:val="center"/>
          </w:tcPr>
          <w:p w14:paraId="7BF9122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27" w:type="dxa"/>
            <w:shd w:val="clear" w:color="auto" w:fill="auto"/>
            <w:vAlign w:val="center"/>
          </w:tcPr>
          <w:p w14:paraId="1D3AE11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7E8B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40" w:type="dxa"/>
            <w:shd w:val="clear" w:color="auto" w:fill="auto"/>
            <w:vAlign w:val="center"/>
          </w:tcPr>
          <w:p w14:paraId="0E50215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240" w:type="dxa"/>
            <w:shd w:val="clear" w:color="auto" w:fill="auto"/>
            <w:vAlign w:val="center"/>
          </w:tcPr>
          <w:p w14:paraId="331AFA4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光纤交换机</w:t>
            </w:r>
          </w:p>
        </w:tc>
        <w:tc>
          <w:tcPr>
            <w:tcW w:w="5103" w:type="dxa"/>
            <w:shd w:val="clear" w:color="auto" w:fill="auto"/>
            <w:vAlign w:val="center"/>
          </w:tcPr>
          <w:p w14:paraId="2CFFD46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Brocade 300 24口8Gb FC SAN交换机，24口激活</w:t>
            </w:r>
          </w:p>
        </w:tc>
        <w:tc>
          <w:tcPr>
            <w:tcW w:w="700" w:type="dxa"/>
            <w:shd w:val="clear" w:color="auto" w:fill="auto"/>
            <w:vAlign w:val="center"/>
          </w:tcPr>
          <w:p w14:paraId="6D83404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vAlign w:val="center"/>
          </w:tcPr>
          <w:p w14:paraId="5F453EE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14:paraId="2FE4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5B5795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240" w:type="dxa"/>
            <w:shd w:val="clear" w:color="auto" w:fill="auto"/>
            <w:vAlign w:val="center"/>
          </w:tcPr>
          <w:p w14:paraId="4A20B90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汇聚交换机</w:t>
            </w:r>
          </w:p>
        </w:tc>
        <w:tc>
          <w:tcPr>
            <w:tcW w:w="5103" w:type="dxa"/>
            <w:shd w:val="clear" w:color="auto" w:fill="auto"/>
            <w:vAlign w:val="center"/>
          </w:tcPr>
          <w:p w14:paraId="646770B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H3C S5800-32F L3以太网交换机主机，配备2个LSPM2150A-150W资产管理交流电源模块</w:t>
            </w:r>
          </w:p>
        </w:tc>
        <w:tc>
          <w:tcPr>
            <w:tcW w:w="700" w:type="dxa"/>
            <w:shd w:val="clear" w:color="auto" w:fill="auto"/>
            <w:vAlign w:val="center"/>
          </w:tcPr>
          <w:p w14:paraId="6F5C5CF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vAlign w:val="center"/>
          </w:tcPr>
          <w:p w14:paraId="4567884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r>
      <w:tr w14:paraId="005D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40" w:type="dxa"/>
            <w:shd w:val="clear" w:color="auto" w:fill="auto"/>
            <w:vAlign w:val="center"/>
          </w:tcPr>
          <w:p w14:paraId="5F6450F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240" w:type="dxa"/>
            <w:shd w:val="clear" w:color="auto" w:fill="auto"/>
            <w:vAlign w:val="center"/>
          </w:tcPr>
          <w:p w14:paraId="2683F52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汇聚交换机</w:t>
            </w:r>
          </w:p>
        </w:tc>
        <w:tc>
          <w:tcPr>
            <w:tcW w:w="5103" w:type="dxa"/>
            <w:shd w:val="clear" w:color="auto" w:fill="auto"/>
            <w:vAlign w:val="center"/>
          </w:tcPr>
          <w:p w14:paraId="2F6144B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H3C S5800-32F 24个100/1000M SFP端口，4个10G SFP+端口，交换容量3.6Tbps，包转发率156Mpps，1个业务槽位，配备冗余交流电源模块，配备万兆虚拟化堆叠电缆</w:t>
            </w:r>
          </w:p>
        </w:tc>
        <w:tc>
          <w:tcPr>
            <w:tcW w:w="700" w:type="dxa"/>
            <w:shd w:val="clear" w:color="auto" w:fill="auto"/>
            <w:vAlign w:val="center"/>
          </w:tcPr>
          <w:p w14:paraId="419709D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vAlign w:val="center"/>
          </w:tcPr>
          <w:p w14:paraId="5A6218C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14:paraId="65F2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23908E0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240" w:type="dxa"/>
            <w:shd w:val="clear" w:color="auto" w:fill="auto"/>
            <w:vAlign w:val="center"/>
          </w:tcPr>
          <w:p w14:paraId="7BA57AE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服务器交换机</w:t>
            </w:r>
          </w:p>
        </w:tc>
        <w:tc>
          <w:tcPr>
            <w:tcW w:w="5103" w:type="dxa"/>
            <w:shd w:val="clear" w:color="auto" w:fill="auto"/>
            <w:vAlign w:val="center"/>
          </w:tcPr>
          <w:p w14:paraId="16681E4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H3C S6300-42QT32个XGT端口,8个XG端口,2个QSFP Plus端口,双650W 交流电源模块，双侧出风风扇，40G QSFP+ 3m电缆</w:t>
            </w:r>
          </w:p>
        </w:tc>
        <w:tc>
          <w:tcPr>
            <w:tcW w:w="700" w:type="dxa"/>
            <w:shd w:val="clear" w:color="auto" w:fill="auto"/>
            <w:vAlign w:val="center"/>
          </w:tcPr>
          <w:p w14:paraId="335D315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vAlign w:val="center"/>
          </w:tcPr>
          <w:p w14:paraId="193A203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r>
      <w:tr w14:paraId="1657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20C100D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240" w:type="dxa"/>
            <w:shd w:val="clear" w:color="auto" w:fill="auto"/>
            <w:vAlign w:val="center"/>
          </w:tcPr>
          <w:p w14:paraId="274AA78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数据库审计与风险控制系统</w:t>
            </w:r>
          </w:p>
        </w:tc>
        <w:tc>
          <w:tcPr>
            <w:tcW w:w="5103" w:type="dxa"/>
            <w:shd w:val="clear" w:color="auto" w:fill="auto"/>
            <w:vAlign w:val="center"/>
          </w:tcPr>
          <w:p w14:paraId="7608C07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网御星云LA-DT-600B标准1U机箱</w:t>
            </w:r>
          </w:p>
        </w:tc>
        <w:tc>
          <w:tcPr>
            <w:tcW w:w="700" w:type="dxa"/>
            <w:shd w:val="clear" w:color="auto" w:fill="auto"/>
            <w:vAlign w:val="center"/>
          </w:tcPr>
          <w:p w14:paraId="48CBEBA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vAlign w:val="center"/>
          </w:tcPr>
          <w:p w14:paraId="521BFA1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5E27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32305D3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240" w:type="dxa"/>
            <w:shd w:val="clear" w:color="auto" w:fill="auto"/>
            <w:vAlign w:val="center"/>
          </w:tcPr>
          <w:p w14:paraId="0473ED6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日志审计</w:t>
            </w:r>
          </w:p>
        </w:tc>
        <w:tc>
          <w:tcPr>
            <w:tcW w:w="5103" w:type="dxa"/>
            <w:shd w:val="clear" w:color="auto" w:fill="auto"/>
            <w:vAlign w:val="center"/>
          </w:tcPr>
          <w:p w14:paraId="6E666E2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网御星云</w:t>
            </w:r>
            <w:r>
              <w:rPr>
                <w:rFonts w:hint="eastAsia" w:ascii="宋体" w:hAnsi="宋体" w:eastAsia="宋体" w:cs="宋体"/>
                <w:color w:val="000000"/>
                <w:kern w:val="0"/>
                <w:sz w:val="22"/>
              </w:rPr>
              <w:t>RS450T日志审计</w:t>
            </w:r>
          </w:p>
        </w:tc>
        <w:tc>
          <w:tcPr>
            <w:tcW w:w="700" w:type="dxa"/>
            <w:shd w:val="clear" w:color="auto" w:fill="auto"/>
            <w:vAlign w:val="center"/>
          </w:tcPr>
          <w:p w14:paraId="6A9C34F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vAlign w:val="center"/>
          </w:tcPr>
          <w:p w14:paraId="05A9CCE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39FE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198F2C6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1240" w:type="dxa"/>
            <w:shd w:val="clear" w:color="auto" w:fill="auto"/>
            <w:vAlign w:val="center"/>
          </w:tcPr>
          <w:p w14:paraId="24A6E6E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堡垒机</w:t>
            </w:r>
          </w:p>
        </w:tc>
        <w:tc>
          <w:tcPr>
            <w:tcW w:w="5103" w:type="dxa"/>
            <w:shd w:val="clear" w:color="auto" w:fill="auto"/>
            <w:vAlign w:val="center"/>
          </w:tcPr>
          <w:p w14:paraId="31F5C97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齐治SHTERM-SPG20堡垒机</w:t>
            </w:r>
          </w:p>
        </w:tc>
        <w:tc>
          <w:tcPr>
            <w:tcW w:w="700" w:type="dxa"/>
            <w:shd w:val="clear" w:color="auto" w:fill="auto"/>
            <w:noWrap/>
            <w:vAlign w:val="center"/>
          </w:tcPr>
          <w:p w14:paraId="3D3EE35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vAlign w:val="center"/>
          </w:tcPr>
          <w:p w14:paraId="30A4B69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14:paraId="1DEC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69047FE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240" w:type="dxa"/>
            <w:shd w:val="clear" w:color="auto" w:fill="auto"/>
            <w:vAlign w:val="center"/>
          </w:tcPr>
          <w:p w14:paraId="6CAB693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应用负载均衡</w:t>
            </w:r>
          </w:p>
        </w:tc>
        <w:tc>
          <w:tcPr>
            <w:tcW w:w="5103" w:type="dxa"/>
            <w:shd w:val="clear" w:color="auto" w:fill="auto"/>
            <w:vAlign w:val="center"/>
          </w:tcPr>
          <w:p w14:paraId="06F0CBA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ARRAY APV2600应用交付，原设备质保至2020年6月，服务期限自设备原厂服务到期之日起一年</w:t>
            </w:r>
          </w:p>
        </w:tc>
        <w:tc>
          <w:tcPr>
            <w:tcW w:w="700" w:type="dxa"/>
            <w:shd w:val="clear" w:color="auto" w:fill="auto"/>
            <w:noWrap/>
            <w:vAlign w:val="center"/>
          </w:tcPr>
          <w:p w14:paraId="5EC0DF8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noWrap/>
            <w:vAlign w:val="center"/>
          </w:tcPr>
          <w:p w14:paraId="284C9B3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14:paraId="719B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40" w:type="dxa"/>
            <w:shd w:val="clear" w:color="auto" w:fill="auto"/>
            <w:vAlign w:val="center"/>
          </w:tcPr>
          <w:p w14:paraId="02FE41A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1240" w:type="dxa"/>
            <w:shd w:val="clear" w:color="auto" w:fill="auto"/>
            <w:vAlign w:val="center"/>
          </w:tcPr>
          <w:p w14:paraId="6F29767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110英寸小间距LED全彩屏</w:t>
            </w:r>
          </w:p>
        </w:tc>
        <w:tc>
          <w:tcPr>
            <w:tcW w:w="5103" w:type="dxa"/>
            <w:shd w:val="clear" w:color="auto" w:fill="auto"/>
            <w:vAlign w:val="center"/>
          </w:tcPr>
          <w:p w14:paraId="24B2820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利亚德LYD-110LS16CG-02110英寸LED全彩屏含原厂落地支架，全封闭背板，像素间距1.667mm，物理分辨率：1440*900，亮度600CD/M2，对比度3000:1，色温3200-9300，带HDMI/USB/PC-RGB/分量视频等接口，面板尺寸2400*1500mm</w:t>
            </w:r>
          </w:p>
        </w:tc>
        <w:tc>
          <w:tcPr>
            <w:tcW w:w="700" w:type="dxa"/>
            <w:shd w:val="clear" w:color="auto" w:fill="auto"/>
            <w:vAlign w:val="center"/>
          </w:tcPr>
          <w:p w14:paraId="6F34474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27" w:type="dxa"/>
            <w:shd w:val="clear" w:color="auto" w:fill="auto"/>
            <w:vAlign w:val="center"/>
          </w:tcPr>
          <w:p w14:paraId="43A0243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3BA1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0" w:type="dxa"/>
            <w:shd w:val="clear" w:color="auto" w:fill="auto"/>
            <w:vAlign w:val="center"/>
          </w:tcPr>
          <w:p w14:paraId="71964B5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1240" w:type="dxa"/>
            <w:shd w:val="clear" w:color="auto" w:fill="auto"/>
            <w:vAlign w:val="center"/>
          </w:tcPr>
          <w:p w14:paraId="2DD54D0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多媒体信息发布管理系统</w:t>
            </w:r>
          </w:p>
        </w:tc>
        <w:tc>
          <w:tcPr>
            <w:tcW w:w="5103" w:type="dxa"/>
            <w:shd w:val="clear" w:color="auto" w:fill="auto"/>
            <w:vAlign w:val="center"/>
          </w:tcPr>
          <w:p w14:paraId="6AF7F7B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星际56IQ南通政务中心版包含政务大厅1至5层所有窗口屏信息发布管理授权</w:t>
            </w:r>
          </w:p>
        </w:tc>
        <w:tc>
          <w:tcPr>
            <w:tcW w:w="700" w:type="dxa"/>
            <w:shd w:val="clear" w:color="auto" w:fill="auto"/>
            <w:vAlign w:val="center"/>
          </w:tcPr>
          <w:p w14:paraId="45E6942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27" w:type="dxa"/>
            <w:shd w:val="clear" w:color="auto" w:fill="auto"/>
            <w:vAlign w:val="center"/>
          </w:tcPr>
          <w:p w14:paraId="39CE550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73E3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0" w:type="dxa"/>
            <w:gridSpan w:val="5"/>
            <w:shd w:val="clear" w:color="auto" w:fill="auto"/>
            <w:vAlign w:val="center"/>
          </w:tcPr>
          <w:p w14:paraId="3286AE8E">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2．原厂商维保服务</w:t>
            </w:r>
          </w:p>
        </w:tc>
      </w:tr>
      <w:tr w14:paraId="6BC0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0" w:type="dxa"/>
            <w:shd w:val="clear" w:color="auto" w:fill="auto"/>
            <w:vAlign w:val="center"/>
          </w:tcPr>
          <w:p w14:paraId="702B49F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40" w:type="dxa"/>
            <w:shd w:val="clear" w:color="auto" w:fill="auto"/>
            <w:vAlign w:val="center"/>
          </w:tcPr>
          <w:p w14:paraId="47C1AE1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数字监控中心平台</w:t>
            </w:r>
          </w:p>
        </w:tc>
        <w:tc>
          <w:tcPr>
            <w:tcW w:w="5103" w:type="dxa"/>
            <w:shd w:val="clear" w:color="auto" w:fill="auto"/>
            <w:vAlign w:val="center"/>
          </w:tcPr>
          <w:p w14:paraId="6C40CA6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宇视VM5500含单机安装许可+240路摄像机接入许可+1台数据管理器服务接入许可＋1台媒体交换服务器接入许可，基于IMOS平台)</w:t>
            </w:r>
          </w:p>
        </w:tc>
        <w:tc>
          <w:tcPr>
            <w:tcW w:w="700" w:type="dxa"/>
            <w:shd w:val="clear" w:color="auto" w:fill="auto"/>
            <w:vAlign w:val="center"/>
          </w:tcPr>
          <w:p w14:paraId="0CA28D2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27" w:type="dxa"/>
            <w:shd w:val="clear" w:color="auto" w:fill="auto"/>
            <w:vAlign w:val="center"/>
          </w:tcPr>
          <w:p w14:paraId="530E6EE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5AFF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56D88B0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40" w:type="dxa"/>
            <w:shd w:val="clear" w:color="auto" w:fill="auto"/>
            <w:vAlign w:val="center"/>
          </w:tcPr>
          <w:p w14:paraId="4C59C79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监控流媒体服务器</w:t>
            </w:r>
          </w:p>
        </w:tc>
        <w:tc>
          <w:tcPr>
            <w:tcW w:w="5103" w:type="dxa"/>
            <w:shd w:val="clear" w:color="auto" w:fill="auto"/>
            <w:vAlign w:val="center"/>
          </w:tcPr>
          <w:p w14:paraId="2B4A82A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宇视MS8500流媒体服务器，原设备质保至2020年6月，服务期限自设备原厂服务到期之日起一年</w:t>
            </w:r>
          </w:p>
        </w:tc>
        <w:tc>
          <w:tcPr>
            <w:tcW w:w="700" w:type="dxa"/>
            <w:shd w:val="clear" w:color="auto" w:fill="auto"/>
            <w:noWrap/>
            <w:vAlign w:val="center"/>
          </w:tcPr>
          <w:p w14:paraId="6482631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noWrap/>
            <w:vAlign w:val="center"/>
          </w:tcPr>
          <w:p w14:paraId="791FFB7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081E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20D95FD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40" w:type="dxa"/>
            <w:shd w:val="clear" w:color="auto" w:fill="auto"/>
            <w:vAlign w:val="center"/>
          </w:tcPr>
          <w:p w14:paraId="4E3EA96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监控显示控制主机</w:t>
            </w:r>
          </w:p>
        </w:tc>
        <w:tc>
          <w:tcPr>
            <w:tcW w:w="5103" w:type="dxa"/>
            <w:shd w:val="clear" w:color="auto" w:fill="auto"/>
            <w:vAlign w:val="center"/>
          </w:tcPr>
          <w:p w14:paraId="54F5964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宇视VS-A8004大屏显示控制主机，原设备质保至2024年12月，服务期限自设备原厂服务到期之日起一年</w:t>
            </w:r>
          </w:p>
        </w:tc>
        <w:tc>
          <w:tcPr>
            <w:tcW w:w="700" w:type="dxa"/>
            <w:shd w:val="clear" w:color="auto" w:fill="auto"/>
            <w:noWrap/>
            <w:vAlign w:val="center"/>
          </w:tcPr>
          <w:p w14:paraId="6C93150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noWrap/>
            <w:vAlign w:val="center"/>
          </w:tcPr>
          <w:p w14:paraId="619ABBA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1236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2639CA6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40" w:type="dxa"/>
            <w:shd w:val="clear" w:color="auto" w:fill="auto"/>
            <w:vAlign w:val="center"/>
          </w:tcPr>
          <w:p w14:paraId="121587F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安全网关</w:t>
            </w:r>
          </w:p>
        </w:tc>
        <w:tc>
          <w:tcPr>
            <w:tcW w:w="5103" w:type="dxa"/>
            <w:shd w:val="clear" w:color="auto" w:fill="auto"/>
            <w:vAlign w:val="center"/>
          </w:tcPr>
          <w:p w14:paraId="5F0CCB7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深信服</w:t>
            </w:r>
            <w:r>
              <w:rPr>
                <w:rFonts w:hint="eastAsia" w:ascii="宋体" w:hAnsi="宋体" w:eastAsia="宋体" w:cs="宋体"/>
                <w:color w:val="000000"/>
                <w:kern w:val="0"/>
                <w:sz w:val="22"/>
              </w:rPr>
              <w:t>AF-2000-I484-FP安全网关</w:t>
            </w:r>
          </w:p>
        </w:tc>
        <w:tc>
          <w:tcPr>
            <w:tcW w:w="700" w:type="dxa"/>
            <w:shd w:val="clear" w:color="auto" w:fill="auto"/>
            <w:vAlign w:val="center"/>
          </w:tcPr>
          <w:p w14:paraId="08E686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vAlign w:val="center"/>
          </w:tcPr>
          <w:p w14:paraId="0ECE0F8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14:paraId="4DD7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59E0D4D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240" w:type="dxa"/>
            <w:shd w:val="clear" w:color="auto" w:fill="auto"/>
            <w:vAlign w:val="center"/>
          </w:tcPr>
          <w:p w14:paraId="215309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下一代防火墙</w:t>
            </w:r>
          </w:p>
        </w:tc>
        <w:tc>
          <w:tcPr>
            <w:tcW w:w="5103" w:type="dxa"/>
            <w:shd w:val="clear" w:color="auto" w:fill="auto"/>
            <w:vAlign w:val="center"/>
          </w:tcPr>
          <w:p w14:paraId="099352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网御星云Power V6000-F8500X</w:t>
            </w:r>
          </w:p>
        </w:tc>
        <w:tc>
          <w:tcPr>
            <w:tcW w:w="700" w:type="dxa"/>
            <w:shd w:val="clear" w:color="auto" w:fill="auto"/>
            <w:noWrap/>
            <w:vAlign w:val="center"/>
          </w:tcPr>
          <w:p w14:paraId="73DC1AF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vAlign w:val="center"/>
          </w:tcPr>
          <w:p w14:paraId="5E03AB8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14:paraId="7B11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5B9E181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240" w:type="dxa"/>
            <w:shd w:val="clear" w:color="auto" w:fill="auto"/>
            <w:vAlign w:val="center"/>
          </w:tcPr>
          <w:p w14:paraId="5B0F160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上网行为管理</w:t>
            </w:r>
          </w:p>
        </w:tc>
        <w:tc>
          <w:tcPr>
            <w:tcW w:w="5103" w:type="dxa"/>
            <w:shd w:val="clear" w:color="auto" w:fill="auto"/>
            <w:vAlign w:val="center"/>
          </w:tcPr>
          <w:p w14:paraId="6CCCE50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深信服AC-1000-B1750</w:t>
            </w:r>
          </w:p>
        </w:tc>
        <w:tc>
          <w:tcPr>
            <w:tcW w:w="700" w:type="dxa"/>
            <w:shd w:val="clear" w:color="auto" w:fill="auto"/>
            <w:noWrap/>
            <w:vAlign w:val="center"/>
          </w:tcPr>
          <w:p w14:paraId="0B7C34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vAlign w:val="center"/>
          </w:tcPr>
          <w:p w14:paraId="36E7F0E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7931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7AAC2CE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240" w:type="dxa"/>
            <w:shd w:val="clear" w:color="auto" w:fill="auto"/>
            <w:vAlign w:val="center"/>
          </w:tcPr>
          <w:p w14:paraId="3A44062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备份一体机</w:t>
            </w:r>
          </w:p>
        </w:tc>
        <w:tc>
          <w:tcPr>
            <w:tcW w:w="5103" w:type="dxa"/>
            <w:shd w:val="clear" w:color="auto" w:fill="auto"/>
            <w:vAlign w:val="center"/>
          </w:tcPr>
          <w:p w14:paraId="5EAD6E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鼎甲DK4024</w:t>
            </w:r>
          </w:p>
        </w:tc>
        <w:tc>
          <w:tcPr>
            <w:tcW w:w="700" w:type="dxa"/>
            <w:shd w:val="clear" w:color="auto" w:fill="auto"/>
            <w:noWrap/>
            <w:vAlign w:val="center"/>
          </w:tcPr>
          <w:p w14:paraId="3E75C86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27" w:type="dxa"/>
            <w:shd w:val="clear" w:color="auto" w:fill="auto"/>
            <w:vAlign w:val="center"/>
          </w:tcPr>
          <w:p w14:paraId="4796A47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33C0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0" w:type="dxa"/>
            <w:gridSpan w:val="5"/>
            <w:shd w:val="clear" w:color="auto" w:fill="auto"/>
            <w:vAlign w:val="center"/>
          </w:tcPr>
          <w:p w14:paraId="41429E52">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3.网络安全设备特征库升级服务</w:t>
            </w:r>
          </w:p>
        </w:tc>
      </w:tr>
      <w:tr w14:paraId="3233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2AEE61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40" w:type="dxa"/>
            <w:shd w:val="clear" w:color="auto" w:fill="auto"/>
            <w:vAlign w:val="center"/>
          </w:tcPr>
          <w:p w14:paraId="16156F7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安全特征库升级</w:t>
            </w:r>
          </w:p>
        </w:tc>
        <w:tc>
          <w:tcPr>
            <w:tcW w:w="5103" w:type="dxa"/>
            <w:shd w:val="clear" w:color="auto" w:fill="auto"/>
            <w:vAlign w:val="center"/>
          </w:tcPr>
          <w:p w14:paraId="4F61662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深信服安全网关特征库升级服务（入侵防御+防病毒模块）</w:t>
            </w:r>
          </w:p>
        </w:tc>
        <w:tc>
          <w:tcPr>
            <w:tcW w:w="700" w:type="dxa"/>
            <w:shd w:val="clear" w:color="auto" w:fill="auto"/>
            <w:noWrap/>
            <w:vAlign w:val="center"/>
          </w:tcPr>
          <w:p w14:paraId="66986B5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27" w:type="dxa"/>
            <w:shd w:val="clear" w:color="auto" w:fill="auto"/>
            <w:vAlign w:val="center"/>
          </w:tcPr>
          <w:p w14:paraId="005AB08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14:paraId="46AE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77F686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40" w:type="dxa"/>
            <w:shd w:val="clear" w:color="auto" w:fill="auto"/>
            <w:vAlign w:val="center"/>
          </w:tcPr>
          <w:p w14:paraId="479345C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安全特征库升级</w:t>
            </w:r>
          </w:p>
        </w:tc>
        <w:tc>
          <w:tcPr>
            <w:tcW w:w="5103" w:type="dxa"/>
            <w:shd w:val="clear" w:color="auto" w:fill="auto"/>
            <w:vAlign w:val="center"/>
          </w:tcPr>
          <w:p w14:paraId="77E7C1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网御星云下一代防火墙特征库升级服务（入侵防御+防病毒模块）</w:t>
            </w:r>
          </w:p>
        </w:tc>
        <w:tc>
          <w:tcPr>
            <w:tcW w:w="700" w:type="dxa"/>
            <w:shd w:val="clear" w:color="auto" w:fill="auto"/>
            <w:noWrap/>
            <w:vAlign w:val="center"/>
          </w:tcPr>
          <w:p w14:paraId="110384C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27" w:type="dxa"/>
            <w:shd w:val="clear" w:color="auto" w:fill="auto"/>
            <w:vAlign w:val="center"/>
          </w:tcPr>
          <w:p w14:paraId="4F09D14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14:paraId="1796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0" w:type="dxa"/>
            <w:shd w:val="clear" w:color="auto" w:fill="auto"/>
            <w:vAlign w:val="center"/>
          </w:tcPr>
          <w:p w14:paraId="3769B9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40" w:type="dxa"/>
            <w:shd w:val="clear" w:color="auto" w:fill="auto"/>
            <w:vAlign w:val="center"/>
          </w:tcPr>
          <w:p w14:paraId="6E0B714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安全特征库升级</w:t>
            </w:r>
          </w:p>
        </w:tc>
        <w:tc>
          <w:tcPr>
            <w:tcW w:w="5103" w:type="dxa"/>
            <w:shd w:val="clear" w:color="auto" w:fill="auto"/>
            <w:vAlign w:val="center"/>
          </w:tcPr>
          <w:p w14:paraId="48059A8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深信服上网行为管理特征库升级服务（行为特征库、URL库）升级</w:t>
            </w:r>
          </w:p>
        </w:tc>
        <w:tc>
          <w:tcPr>
            <w:tcW w:w="700" w:type="dxa"/>
            <w:shd w:val="clear" w:color="auto" w:fill="auto"/>
            <w:noWrap/>
            <w:vAlign w:val="center"/>
          </w:tcPr>
          <w:p w14:paraId="1A059F2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27" w:type="dxa"/>
            <w:shd w:val="clear" w:color="auto" w:fill="auto"/>
            <w:vAlign w:val="center"/>
          </w:tcPr>
          <w:p w14:paraId="64B890C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bl>
    <w:p w14:paraId="729A42F8">
      <w:pPr>
        <w:pStyle w:val="20"/>
        <w:tabs>
          <w:tab w:val="left" w:pos="5325"/>
        </w:tabs>
        <w:snapToGrid w:val="0"/>
        <w:ind w:firstLine="0" w:firstLineChars="0"/>
        <w:contextualSpacing/>
        <w:rPr>
          <w:rFonts w:ascii="黑体" w:hAnsi="黑体" w:eastAsia="黑体" w:cs="Times New Roman"/>
          <w:sz w:val="32"/>
          <w:szCs w:val="32"/>
        </w:rPr>
      </w:pPr>
    </w:p>
    <w:p w14:paraId="23082738">
      <w:pPr>
        <w:pStyle w:val="20"/>
        <w:tabs>
          <w:tab w:val="left" w:pos="5325"/>
        </w:tabs>
        <w:snapToGrid w:val="0"/>
        <w:ind w:firstLine="0" w:firstLineChars="0"/>
        <w:contextualSpacing/>
        <w:rPr>
          <w:rFonts w:ascii="黑体" w:hAnsi="黑体" w:eastAsia="黑体" w:cs="Times New Roman"/>
          <w:sz w:val="32"/>
          <w:szCs w:val="32"/>
        </w:rPr>
      </w:pPr>
      <w:r>
        <w:rPr>
          <w:rFonts w:hint="eastAsia" w:ascii="黑体" w:hAnsi="黑体" w:eastAsia="黑体" w:cs="Times New Roman"/>
          <w:sz w:val="32"/>
          <w:szCs w:val="32"/>
        </w:rPr>
        <w:t>三、合同签订</w:t>
      </w:r>
    </w:p>
    <w:p w14:paraId="0AD56464">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采购结果公示结束后无异议的在10个工作日内签订合同。</w:t>
      </w:r>
    </w:p>
    <w:p w14:paraId="37790A06">
      <w:pPr>
        <w:pStyle w:val="20"/>
        <w:tabs>
          <w:tab w:val="left" w:pos="5325"/>
        </w:tabs>
        <w:snapToGrid w:val="0"/>
        <w:ind w:firstLine="0" w:firstLineChars="0"/>
        <w:contextualSpacing/>
        <w:rPr>
          <w:rFonts w:ascii="黑体" w:hAnsi="黑体" w:eastAsia="黑体" w:cs="Times New Roman"/>
          <w:sz w:val="32"/>
          <w:szCs w:val="32"/>
        </w:rPr>
      </w:pPr>
      <w:r>
        <w:rPr>
          <w:rFonts w:hint="eastAsia" w:ascii="黑体" w:hAnsi="黑体" w:eastAsia="黑体" w:cs="Times New Roman"/>
          <w:sz w:val="32"/>
          <w:szCs w:val="32"/>
        </w:rPr>
        <w:t>四、付款方式</w:t>
      </w:r>
    </w:p>
    <w:p w14:paraId="39825CC6">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按照中标价签订合同</w:t>
      </w:r>
      <w:bookmarkEnd w:id="0"/>
      <w:bookmarkEnd w:id="1"/>
      <w:bookmarkEnd w:id="2"/>
      <w:bookmarkStart w:id="4" w:name="_Toc344724549"/>
      <w:r>
        <w:rPr>
          <w:rFonts w:hint="eastAsia" w:ascii="仿宋" w:hAnsi="仿宋" w:eastAsia="仿宋" w:cs="Times New Roman"/>
          <w:sz w:val="28"/>
          <w:szCs w:val="28"/>
          <w:lang w:val="zh-CN"/>
        </w:rPr>
        <w:t>，发票送达后15个工作日内支付合同金额的50%；运维服务半年经信息处评估通过后支付合同金额的45%；运维服务期满绩效评价通过后支付合同金额的5%。</w:t>
      </w:r>
      <w:bookmarkEnd w:id="4"/>
    </w:p>
    <w:p w14:paraId="22764E8C">
      <w:pPr>
        <w:tabs>
          <w:tab w:val="left" w:pos="5325"/>
        </w:tabs>
        <w:snapToGrid w:val="0"/>
        <w:contextualSpacing/>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投标供应商资格要求</w:t>
      </w:r>
    </w:p>
    <w:p w14:paraId="2FB00310">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1、符合《中华人民共和国政府采购法》第22条规定；</w:t>
      </w:r>
    </w:p>
    <w:p w14:paraId="0E724B1E">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2、具有合法经营资格并能承担完全民事责任的独立法人。</w:t>
      </w:r>
    </w:p>
    <w:p w14:paraId="51B86A41">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3、未被“信用中国”网站列入失信被执行人、重大税收违法案件当事人名单、政府采购严重失信行为记录名单；</w:t>
      </w:r>
    </w:p>
    <w:p w14:paraId="2AD12DD6">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4、本项目不接受联合体参与，不得转包。</w:t>
      </w:r>
    </w:p>
    <w:p w14:paraId="35D825A3">
      <w:pPr>
        <w:pStyle w:val="20"/>
        <w:tabs>
          <w:tab w:val="left" w:pos="5325"/>
        </w:tabs>
        <w:snapToGrid w:val="0"/>
        <w:ind w:firstLine="0" w:firstLineChars="0"/>
        <w:contextualSpacing/>
        <w:rPr>
          <w:rFonts w:ascii="Times New Roman" w:hAnsi="Times New Roman" w:eastAsia="方正仿宋_GBK" w:cs="Times New Roman"/>
          <w:sz w:val="32"/>
          <w:szCs w:val="32"/>
        </w:rPr>
      </w:pPr>
      <w:r>
        <w:rPr>
          <w:rFonts w:hint="eastAsia" w:ascii="黑体" w:hAnsi="黑体" w:eastAsia="黑体" w:cs="Times New Roman"/>
          <w:sz w:val="32"/>
          <w:szCs w:val="32"/>
        </w:rPr>
        <w:t>六、投标文件的组成</w:t>
      </w:r>
    </w:p>
    <w:p w14:paraId="4028AF36">
      <w:pPr>
        <w:snapToGrid w:val="0"/>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投标文件由商务技术响应文件、价格响应文件两部分组成。</w:t>
      </w:r>
    </w:p>
    <w:p w14:paraId="73D69204">
      <w:pPr>
        <w:snapToGrid w:val="0"/>
        <w:ind w:firstLine="562" w:firstLineChars="200"/>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w:t>
      </w:r>
      <w:r>
        <w:rPr>
          <w:rFonts w:hint="eastAsia" w:ascii="方正仿宋_GBK" w:hAnsi="方正仿宋_GBK" w:eastAsia="方正仿宋_GBK" w:cs="方正仿宋_GBK"/>
          <w:b/>
          <w:color w:val="000000" w:themeColor="text1"/>
          <w:sz w:val="28"/>
          <w:szCs w:val="28"/>
          <w14:textFill>
            <w14:solidFill>
              <w14:schemeClr w14:val="tx1"/>
            </w14:solidFill>
          </w14:textFill>
        </w:rPr>
        <w:t>商务技术</w:t>
      </w:r>
      <w:r>
        <w:rPr>
          <w:rFonts w:hint="eastAsia" w:ascii="方正仿宋_GBK" w:hAnsi="方正仿宋_GBK" w:eastAsia="方正仿宋_GBK" w:cs="方正仿宋_GBK"/>
          <w:b/>
          <w:sz w:val="28"/>
          <w:szCs w:val="28"/>
        </w:rPr>
        <w:t>响应文件（</w:t>
      </w:r>
      <w:r>
        <w:rPr>
          <w:rFonts w:hint="eastAsia" w:ascii="方正仿宋_GBK" w:hAnsi="方正仿宋_GBK" w:eastAsia="方正仿宋_GBK" w:cs="方正仿宋_GBK"/>
          <w:b/>
          <w:color w:val="000000" w:themeColor="text1"/>
          <w:sz w:val="28"/>
          <w:szCs w:val="28"/>
          <w14:textFill>
            <w14:solidFill>
              <w14:schemeClr w14:val="tx1"/>
            </w14:solidFill>
          </w14:textFill>
        </w:rPr>
        <w:t>不得出现报价，</w:t>
      </w:r>
      <w:r>
        <w:rPr>
          <w:rFonts w:hint="eastAsia" w:ascii="方正仿宋_GBK" w:hAnsi="方正仿宋_GBK" w:eastAsia="方正仿宋_GBK" w:cs="方正仿宋_GBK"/>
          <w:b/>
          <w:sz w:val="28"/>
          <w:szCs w:val="28"/>
        </w:rPr>
        <w:t>一正两副，单独密封装订）：</w:t>
      </w:r>
    </w:p>
    <w:p w14:paraId="09AC96C5">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1、法定代表人参加投标的，提供法定代表人身份证复印件（加盖公章）；授权委托人参加投标的，提供法定代表人授权委托书、法定代表人和授权委托人身份证复印件（加盖公章）；</w:t>
      </w:r>
    </w:p>
    <w:p w14:paraId="3D20CC06">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2、营业执照复印件（加盖公章）；</w:t>
      </w:r>
    </w:p>
    <w:p w14:paraId="2E3FCE75">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3、信用中国企业信用信息报告（加盖公章）；</w:t>
      </w:r>
    </w:p>
    <w:p w14:paraId="60E034E5">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4、原厂维保服务设备厂家出具的原厂质保承诺函扫描件（原件需于签订合同时提供，无法提供的视为不响应采购要求）；</w:t>
      </w:r>
    </w:p>
    <w:p w14:paraId="145A1F98">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5、投标承诺函（见附件一）；</w:t>
      </w:r>
    </w:p>
    <w:p w14:paraId="607ABAFF">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6、响应方案，货物（服务）清单。具有项目、数量、品牌、型号、配置性能等；</w:t>
      </w:r>
    </w:p>
    <w:p w14:paraId="5F64ABFD">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7、投标人认为需要提交的其他资料。</w:t>
      </w:r>
    </w:p>
    <w:p w14:paraId="34270392">
      <w:pPr>
        <w:pStyle w:val="2"/>
        <w:spacing w:after="0"/>
        <w:ind w:left="0" w:leftChars="0" w:firstLine="281" w:firstLineChars="100"/>
        <w:rPr>
          <w:rFonts w:eastAsia="仿宋"/>
          <w:sz w:val="28"/>
          <w:szCs w:val="28"/>
        </w:rPr>
      </w:pPr>
      <w:r>
        <w:rPr>
          <w:rFonts w:hint="eastAsia" w:ascii="仿宋" w:hAnsi="仿宋" w:eastAsia="仿宋" w:cs="仿宋"/>
          <w:b/>
          <w:sz w:val="28"/>
          <w:szCs w:val="28"/>
        </w:rPr>
        <w:t>（二）价格响应文件（单本单独密封装订）</w:t>
      </w:r>
    </w:p>
    <w:p w14:paraId="4279A252">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1、分项明细报价表；</w:t>
      </w:r>
    </w:p>
    <w:p w14:paraId="57C0B8C7">
      <w:pPr>
        <w:ind w:firstLine="560" w:firstLineChars="200"/>
        <w:rPr>
          <w:rFonts w:ascii="仿宋" w:hAnsi="仿宋" w:eastAsia="仿宋" w:cs="Times New Roman"/>
          <w:sz w:val="28"/>
          <w:szCs w:val="28"/>
          <w:lang w:val="zh-CN"/>
        </w:rPr>
      </w:pPr>
      <w:r>
        <w:rPr>
          <w:rFonts w:ascii="仿宋" w:hAnsi="仿宋" w:eastAsia="仿宋" w:cs="Times New Roman"/>
          <w:sz w:val="28"/>
          <w:szCs w:val="28"/>
          <w:lang w:val="zh-CN"/>
        </w:rPr>
        <w:t>2</w:t>
      </w:r>
      <w:r>
        <w:rPr>
          <w:rFonts w:hint="eastAsia" w:ascii="仿宋" w:hAnsi="仿宋" w:eastAsia="仿宋" w:cs="Times New Roman"/>
          <w:sz w:val="28"/>
          <w:szCs w:val="28"/>
          <w:lang w:val="zh-CN"/>
        </w:rPr>
        <w:t>、磋商响应报价表（见附件二）</w:t>
      </w:r>
    </w:p>
    <w:p w14:paraId="177D81BD">
      <w:pPr>
        <w:pStyle w:val="20"/>
        <w:tabs>
          <w:tab w:val="left" w:pos="5325"/>
        </w:tabs>
        <w:snapToGrid w:val="0"/>
        <w:ind w:firstLine="0" w:firstLineChars="0"/>
        <w:contextualSpacing/>
        <w:rPr>
          <w:rFonts w:ascii="黑体" w:hAnsi="黑体" w:eastAsia="黑体" w:cs="Times New Roman"/>
          <w:sz w:val="32"/>
          <w:szCs w:val="32"/>
        </w:rPr>
      </w:pPr>
      <w:r>
        <w:rPr>
          <w:rFonts w:hint="eastAsia" w:ascii="黑体" w:hAnsi="黑体" w:eastAsia="黑体" w:cs="Times New Roman"/>
          <w:sz w:val="32"/>
          <w:szCs w:val="32"/>
        </w:rPr>
        <w:t>七、评分标准</w:t>
      </w:r>
    </w:p>
    <w:p w14:paraId="4E0F0338">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采用综合评分法，按照供应商提交的响应文件和最后报价进行综合评分。最终得分最高的为第一成交候选人，在分数相同的情况下由采购人代表现场抽签确定成交候选人，若第一成交候选人弃标的，由第二成交候选人成交，依次类推。</w:t>
      </w:r>
    </w:p>
    <w:p w14:paraId="35D7540C">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商务技术部分评审结束后，再开启最后报价计算分值。总分值为100分，加分和减分因素除外。</w:t>
      </w:r>
    </w:p>
    <w:p w14:paraId="0DFE8FFF">
      <w:pPr>
        <w:ind w:firstLine="562" w:firstLineChars="200"/>
        <w:rPr>
          <w:rFonts w:ascii="仿宋" w:hAnsi="仿宋" w:eastAsia="仿宋" w:cs="Times New Roman"/>
          <w:b/>
          <w:bCs/>
          <w:sz w:val="28"/>
          <w:szCs w:val="28"/>
          <w:lang w:val="zh-CN"/>
        </w:rPr>
      </w:pPr>
      <w:r>
        <w:rPr>
          <w:rFonts w:hint="eastAsia" w:ascii="仿宋" w:hAnsi="仿宋" w:eastAsia="仿宋" w:cs="Times New Roman"/>
          <w:b/>
          <w:bCs/>
          <w:sz w:val="28"/>
          <w:szCs w:val="28"/>
          <w:lang w:val="zh-CN"/>
        </w:rPr>
        <w:t>商务技术分：</w:t>
      </w:r>
      <w:r>
        <w:rPr>
          <w:rFonts w:hint="default" w:ascii="仿宋" w:hAnsi="仿宋" w:eastAsia="仿宋" w:cs="Times New Roman"/>
          <w:b/>
          <w:bCs/>
          <w:sz w:val="28"/>
          <w:szCs w:val="28"/>
          <w:lang w:val="en-US"/>
        </w:rPr>
        <w:t>7</w:t>
      </w:r>
      <w:r>
        <w:rPr>
          <w:rFonts w:hint="eastAsia" w:ascii="仿宋" w:hAnsi="仿宋" w:eastAsia="仿宋" w:cs="Times New Roman"/>
          <w:b/>
          <w:bCs/>
          <w:sz w:val="28"/>
          <w:szCs w:val="28"/>
          <w:lang w:val="zh-CN"/>
        </w:rPr>
        <w:t>0分</w:t>
      </w:r>
    </w:p>
    <w:p w14:paraId="7425B389">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各投标人得分为评委会成员评分的算术平均分，分值保留小数点后两位。</w:t>
      </w:r>
    </w:p>
    <w:p w14:paraId="3C71A75E">
      <w:pPr>
        <w:pStyle w:val="2"/>
        <w:ind w:firstLine="640"/>
        <w:rPr>
          <w:lang w:val="zh-CN"/>
        </w:rPr>
      </w:pPr>
      <w:r>
        <w:rPr>
          <w:lang w:val="zh-CN"/>
        </w:rPr>
        <w:br w:type="page"/>
      </w:r>
    </w:p>
    <w:tbl>
      <w:tblPr>
        <w:tblStyle w:val="11"/>
        <w:tblW w:w="8500" w:type="dxa"/>
        <w:tblInd w:w="0" w:type="dxa"/>
        <w:tblLayout w:type="autofit"/>
        <w:tblCellMar>
          <w:top w:w="0" w:type="dxa"/>
          <w:left w:w="108" w:type="dxa"/>
          <w:bottom w:w="0" w:type="dxa"/>
          <w:right w:w="108" w:type="dxa"/>
        </w:tblCellMar>
      </w:tblPr>
      <w:tblGrid>
        <w:gridCol w:w="1413"/>
        <w:gridCol w:w="7087"/>
      </w:tblGrid>
      <w:tr w14:paraId="18795B5D">
        <w:tblPrEx>
          <w:tblCellMar>
            <w:top w:w="0" w:type="dxa"/>
            <w:left w:w="108" w:type="dxa"/>
            <w:bottom w:w="0" w:type="dxa"/>
            <w:right w:w="108" w:type="dxa"/>
          </w:tblCellMar>
        </w:tblPrEx>
        <w:trPr>
          <w:trHeight w:val="463"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60F93058">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评分项目</w:t>
            </w:r>
          </w:p>
        </w:tc>
        <w:tc>
          <w:tcPr>
            <w:tcW w:w="7087" w:type="dxa"/>
            <w:tcBorders>
              <w:top w:val="single" w:color="auto" w:sz="4" w:space="0"/>
              <w:left w:val="nil"/>
              <w:bottom w:val="single" w:color="auto" w:sz="4" w:space="0"/>
              <w:right w:val="single" w:color="auto" w:sz="4" w:space="0"/>
            </w:tcBorders>
            <w:shd w:val="clear" w:color="auto" w:fill="auto"/>
            <w:vAlign w:val="center"/>
          </w:tcPr>
          <w:p w14:paraId="49B3E7DD">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评分标准</w:t>
            </w:r>
          </w:p>
        </w:tc>
      </w:tr>
      <w:tr w14:paraId="0F171E92">
        <w:tblPrEx>
          <w:tblCellMar>
            <w:top w:w="0" w:type="dxa"/>
            <w:left w:w="108" w:type="dxa"/>
            <w:bottom w:w="0" w:type="dxa"/>
            <w:right w:w="108" w:type="dxa"/>
          </w:tblCellMar>
        </w:tblPrEx>
        <w:trPr>
          <w:trHeight w:val="1800" w:hRule="atLeast"/>
        </w:trPr>
        <w:tc>
          <w:tcPr>
            <w:tcW w:w="1413" w:type="dxa"/>
            <w:tcBorders>
              <w:top w:val="nil"/>
              <w:left w:val="single" w:color="auto" w:sz="4" w:space="0"/>
              <w:bottom w:val="single" w:color="auto" w:sz="4" w:space="0"/>
              <w:right w:val="single" w:color="auto" w:sz="4" w:space="0"/>
            </w:tcBorders>
            <w:shd w:val="clear" w:color="auto" w:fill="auto"/>
            <w:vAlign w:val="center"/>
          </w:tcPr>
          <w:p w14:paraId="2810374E">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供应商资质及实力</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16</w:t>
            </w:r>
            <w:r>
              <w:rPr>
                <w:rFonts w:hint="eastAsia" w:ascii="仿宋" w:hAnsi="仿宋" w:eastAsia="仿宋" w:cs="宋体"/>
                <w:color w:val="000000"/>
                <w:kern w:val="0"/>
                <w:sz w:val="24"/>
                <w:szCs w:val="24"/>
              </w:rPr>
              <w:t>分）</w:t>
            </w:r>
          </w:p>
        </w:tc>
        <w:tc>
          <w:tcPr>
            <w:tcW w:w="7087" w:type="dxa"/>
            <w:tcBorders>
              <w:top w:val="nil"/>
              <w:left w:val="nil"/>
              <w:bottom w:val="single" w:color="auto" w:sz="4" w:space="0"/>
              <w:right w:val="single" w:color="auto" w:sz="4" w:space="0"/>
            </w:tcBorders>
            <w:shd w:val="clear" w:color="auto" w:fill="auto"/>
            <w:vAlign w:val="center"/>
          </w:tcPr>
          <w:p w14:paraId="65772FBE">
            <w:pPr>
              <w:widowControl/>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1、投标人具有ISO20000信息服务管理体系标准认证证书、ISO27001 信息安全管理体系证书、CCRC信息安全服务资质（信息系统安全集成服务资质三级或以上），ITSS信息技术服务（运行维护三级或以上），每提供一个证书得2分，本项最多</w:t>
            </w:r>
            <w:r>
              <w:rPr>
                <w:rFonts w:ascii="仿宋" w:hAnsi="仿宋" w:eastAsia="仿宋" w:cs="宋体"/>
                <w:color w:val="000000"/>
                <w:kern w:val="0"/>
                <w:sz w:val="24"/>
                <w:szCs w:val="24"/>
              </w:rPr>
              <w:t>8</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2、投标人具有GB/T27922-2011售后服务认证证书五星级或以上，信息系统建设和服务能力CS2或以上，每提供1个证书得4分，本项最多8分；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(需提供相关证书复印件加盖投标人公章，证书需在有效期内。）</w:t>
            </w:r>
          </w:p>
        </w:tc>
      </w:tr>
      <w:tr w14:paraId="7A6F16E0">
        <w:tblPrEx>
          <w:tblCellMar>
            <w:top w:w="0" w:type="dxa"/>
            <w:left w:w="108" w:type="dxa"/>
            <w:bottom w:w="0" w:type="dxa"/>
            <w:right w:w="108" w:type="dxa"/>
          </w:tblCellMar>
        </w:tblPrEx>
        <w:trPr>
          <w:trHeight w:val="1800" w:hRule="atLeast"/>
        </w:trPr>
        <w:tc>
          <w:tcPr>
            <w:tcW w:w="1413" w:type="dxa"/>
            <w:tcBorders>
              <w:top w:val="nil"/>
              <w:left w:val="single" w:color="auto" w:sz="4" w:space="0"/>
              <w:bottom w:val="single" w:color="auto" w:sz="4" w:space="0"/>
              <w:right w:val="single" w:color="auto" w:sz="4" w:space="0"/>
            </w:tcBorders>
            <w:shd w:val="clear" w:color="auto" w:fill="auto"/>
            <w:vAlign w:val="center"/>
          </w:tcPr>
          <w:p w14:paraId="6B900B4A">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项目团队实力</w:t>
            </w:r>
            <w:r>
              <w:rPr>
                <w:rFonts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w:t>
            </w:r>
            <w:r>
              <w:rPr>
                <w:rFonts w:hint="default" w:ascii="仿宋" w:hAnsi="仿宋" w:eastAsia="仿宋" w:cs="宋体"/>
                <w:color w:val="000000"/>
                <w:kern w:val="0"/>
                <w:sz w:val="24"/>
                <w:szCs w:val="24"/>
                <w:lang w:val="en-US"/>
              </w:rPr>
              <w:t>3</w:t>
            </w:r>
            <w:r>
              <w:rPr>
                <w:rFonts w:ascii="仿宋" w:hAnsi="仿宋" w:eastAsia="仿宋" w:cs="宋体"/>
                <w:color w:val="000000"/>
                <w:kern w:val="0"/>
                <w:sz w:val="24"/>
                <w:szCs w:val="24"/>
              </w:rPr>
              <w:t>0</w:t>
            </w:r>
            <w:r>
              <w:rPr>
                <w:rFonts w:hint="eastAsia" w:ascii="仿宋" w:hAnsi="仿宋" w:eastAsia="仿宋" w:cs="宋体"/>
                <w:color w:val="000000"/>
                <w:kern w:val="0"/>
                <w:sz w:val="24"/>
                <w:szCs w:val="24"/>
              </w:rPr>
              <w:t>分）</w:t>
            </w:r>
          </w:p>
        </w:tc>
        <w:tc>
          <w:tcPr>
            <w:tcW w:w="7087" w:type="dxa"/>
            <w:tcBorders>
              <w:top w:val="nil"/>
              <w:left w:val="nil"/>
              <w:bottom w:val="single" w:color="auto" w:sz="4" w:space="0"/>
              <w:right w:val="single" w:color="auto" w:sz="4" w:space="0"/>
            </w:tcBorders>
            <w:shd w:val="clear" w:color="auto" w:fill="auto"/>
            <w:vAlign w:val="center"/>
          </w:tcPr>
          <w:p w14:paraId="4EB601BB">
            <w:pPr>
              <w:widowControl/>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eastAsia="zh-CN"/>
              </w:rPr>
              <w:t>项目管理成员</w:t>
            </w:r>
            <w:r>
              <w:rPr>
                <w:rFonts w:hint="eastAsia" w:ascii="仿宋" w:hAnsi="仿宋" w:eastAsia="仿宋" w:cs="宋体"/>
                <w:color w:val="000000"/>
                <w:kern w:val="0"/>
                <w:sz w:val="24"/>
                <w:szCs w:val="24"/>
              </w:rPr>
              <w:t>具有信息系统项目管理师（高级）证书、注册信息安全专业人员（CISP）资格证书</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每提供一个得</w:t>
            </w:r>
            <w:r>
              <w:rPr>
                <w:rFonts w:hint="default" w:ascii="仿宋" w:hAnsi="仿宋" w:eastAsia="仿宋" w:cs="宋体"/>
                <w:color w:val="000000"/>
                <w:kern w:val="0"/>
                <w:sz w:val="24"/>
                <w:szCs w:val="24"/>
                <w:lang w:val="en-US"/>
              </w:rPr>
              <w:t>5</w:t>
            </w:r>
            <w:r>
              <w:rPr>
                <w:rFonts w:hint="eastAsia" w:ascii="仿宋" w:hAnsi="仿宋" w:eastAsia="仿宋" w:cs="宋体"/>
                <w:color w:val="000000"/>
                <w:kern w:val="0"/>
                <w:sz w:val="24"/>
                <w:szCs w:val="24"/>
              </w:rPr>
              <w:t>分，本项最多</w:t>
            </w:r>
            <w:r>
              <w:rPr>
                <w:rFonts w:hint="default" w:ascii="仿宋" w:hAnsi="仿宋" w:eastAsia="仿宋" w:cs="宋体"/>
                <w:color w:val="000000"/>
                <w:kern w:val="0"/>
                <w:sz w:val="24"/>
                <w:szCs w:val="24"/>
                <w:lang w:val="en-US"/>
              </w:rPr>
              <w:t>10</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2、成员具有IT服务工程师证书，每提供1个得</w:t>
            </w:r>
            <w:r>
              <w:rPr>
                <w:rFonts w:hint="default" w:ascii="仿宋" w:hAnsi="仿宋" w:eastAsia="仿宋" w:cs="宋体"/>
                <w:color w:val="000000"/>
                <w:kern w:val="0"/>
                <w:sz w:val="24"/>
                <w:szCs w:val="24"/>
                <w:lang w:val="en-US"/>
              </w:rPr>
              <w:t>4</w:t>
            </w:r>
            <w:r>
              <w:rPr>
                <w:rFonts w:hint="eastAsia" w:ascii="仿宋" w:hAnsi="仿宋" w:eastAsia="仿宋" w:cs="宋体"/>
                <w:color w:val="000000"/>
                <w:kern w:val="0"/>
                <w:sz w:val="24"/>
                <w:szCs w:val="24"/>
              </w:rPr>
              <w:t>分，本项最多</w:t>
            </w:r>
            <w:r>
              <w:rPr>
                <w:rFonts w:hint="default" w:ascii="仿宋" w:hAnsi="仿宋" w:eastAsia="仿宋" w:cs="宋体"/>
                <w:color w:val="000000"/>
                <w:kern w:val="0"/>
                <w:sz w:val="24"/>
                <w:szCs w:val="24"/>
                <w:lang w:val="en-US"/>
              </w:rPr>
              <w:t>8</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3、成员具有售后服务管理</w:t>
            </w:r>
            <w:r>
              <w:rPr>
                <w:rFonts w:hint="eastAsia" w:ascii="仿宋" w:hAnsi="仿宋" w:eastAsia="仿宋" w:cs="宋体"/>
                <w:color w:val="000000"/>
                <w:kern w:val="0"/>
                <w:sz w:val="24"/>
                <w:szCs w:val="24"/>
                <w:lang w:eastAsia="zh-CN"/>
              </w:rPr>
              <w:t>师</w:t>
            </w:r>
            <w:r>
              <w:rPr>
                <w:rFonts w:hint="eastAsia" w:ascii="仿宋" w:hAnsi="仿宋" w:eastAsia="仿宋" w:cs="宋体"/>
                <w:color w:val="000000"/>
                <w:kern w:val="0"/>
                <w:sz w:val="24"/>
                <w:szCs w:val="24"/>
              </w:rPr>
              <w:t>证书，每提供1个得</w:t>
            </w:r>
            <w:r>
              <w:rPr>
                <w:rFonts w:hint="default" w:ascii="仿宋" w:hAnsi="仿宋" w:eastAsia="仿宋" w:cs="宋体"/>
                <w:color w:val="000000"/>
                <w:kern w:val="0"/>
                <w:sz w:val="24"/>
                <w:szCs w:val="24"/>
                <w:lang w:val="en-US"/>
              </w:rPr>
              <w:t>4</w:t>
            </w:r>
            <w:r>
              <w:rPr>
                <w:rFonts w:hint="eastAsia" w:ascii="仿宋" w:hAnsi="仿宋" w:eastAsia="仿宋" w:cs="宋体"/>
                <w:color w:val="000000"/>
                <w:kern w:val="0"/>
                <w:sz w:val="24"/>
                <w:szCs w:val="24"/>
              </w:rPr>
              <w:t>分，本项最多得</w:t>
            </w:r>
            <w:r>
              <w:rPr>
                <w:rFonts w:hint="default" w:ascii="仿宋" w:hAnsi="仿宋" w:eastAsia="仿宋" w:cs="宋体"/>
                <w:color w:val="000000"/>
                <w:kern w:val="0"/>
                <w:sz w:val="24"/>
                <w:szCs w:val="24"/>
                <w:lang w:val="en-US"/>
              </w:rPr>
              <w:t>12</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（需提供相关证书复印件加盖投标人公章及供应商为其缴纳最近3个月及以上社保证明复印件。）</w:t>
            </w:r>
          </w:p>
        </w:tc>
      </w:tr>
      <w:tr w14:paraId="1058188F">
        <w:tblPrEx>
          <w:tblCellMar>
            <w:top w:w="0" w:type="dxa"/>
            <w:left w:w="108" w:type="dxa"/>
            <w:bottom w:w="0" w:type="dxa"/>
            <w:right w:w="108" w:type="dxa"/>
          </w:tblCellMar>
        </w:tblPrEx>
        <w:trPr>
          <w:trHeight w:val="900" w:hRule="atLeast"/>
        </w:trPr>
        <w:tc>
          <w:tcPr>
            <w:tcW w:w="1413" w:type="dxa"/>
            <w:tcBorders>
              <w:top w:val="nil"/>
              <w:left w:val="single" w:color="auto" w:sz="4" w:space="0"/>
              <w:bottom w:val="single" w:color="auto" w:sz="4" w:space="0"/>
              <w:right w:val="single" w:color="auto" w:sz="4" w:space="0"/>
            </w:tcBorders>
            <w:shd w:val="clear" w:color="auto" w:fill="auto"/>
            <w:vAlign w:val="center"/>
          </w:tcPr>
          <w:p w14:paraId="085CD592">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业绩案例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w:t>
            </w:r>
            <w:r>
              <w:rPr>
                <w:rFonts w:hint="default" w:ascii="仿宋" w:hAnsi="仿宋" w:eastAsia="仿宋" w:cs="宋体"/>
                <w:color w:val="000000"/>
                <w:kern w:val="0"/>
                <w:sz w:val="24"/>
                <w:szCs w:val="24"/>
                <w:lang w:val="en-US"/>
              </w:rPr>
              <w:t>9</w:t>
            </w:r>
            <w:r>
              <w:rPr>
                <w:rFonts w:hint="eastAsia" w:ascii="仿宋" w:hAnsi="仿宋" w:eastAsia="仿宋" w:cs="宋体"/>
                <w:color w:val="000000"/>
                <w:kern w:val="0"/>
                <w:sz w:val="24"/>
                <w:szCs w:val="24"/>
              </w:rPr>
              <w:t>分）</w:t>
            </w:r>
          </w:p>
        </w:tc>
        <w:tc>
          <w:tcPr>
            <w:tcW w:w="7087" w:type="dxa"/>
            <w:tcBorders>
              <w:top w:val="nil"/>
              <w:left w:val="nil"/>
              <w:bottom w:val="single" w:color="auto" w:sz="4" w:space="0"/>
              <w:right w:val="single" w:color="auto" w:sz="4" w:space="0"/>
            </w:tcBorders>
            <w:shd w:val="clear" w:color="auto" w:fill="auto"/>
            <w:vAlign w:val="center"/>
          </w:tcPr>
          <w:p w14:paraId="2F7AEC1D">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投标人自2021年1月1日（以合同签订时间为准）以来有类似运维项目案例的，每提供1个案例得3分，最高得</w:t>
            </w:r>
            <w:r>
              <w:rPr>
                <w:rFonts w:hint="default" w:ascii="仿宋" w:hAnsi="仿宋" w:eastAsia="仿宋" w:cs="宋体"/>
                <w:color w:val="000000"/>
                <w:kern w:val="0"/>
                <w:sz w:val="24"/>
                <w:szCs w:val="24"/>
                <w:lang w:val="en-US"/>
              </w:rPr>
              <w:t>9</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（需提供业绩合同关键页复印件。）</w:t>
            </w:r>
          </w:p>
        </w:tc>
      </w:tr>
      <w:tr w14:paraId="463FD267">
        <w:tblPrEx>
          <w:tblCellMar>
            <w:top w:w="0" w:type="dxa"/>
            <w:left w:w="108" w:type="dxa"/>
            <w:bottom w:w="0" w:type="dxa"/>
            <w:right w:w="108" w:type="dxa"/>
          </w:tblCellMar>
        </w:tblPrEx>
        <w:trPr>
          <w:trHeight w:val="900" w:hRule="atLeast"/>
        </w:trPr>
        <w:tc>
          <w:tcPr>
            <w:tcW w:w="1413" w:type="dxa"/>
            <w:tcBorders>
              <w:top w:val="nil"/>
              <w:left w:val="single" w:color="auto" w:sz="4" w:space="0"/>
              <w:bottom w:val="single" w:color="auto" w:sz="4" w:space="0"/>
              <w:right w:val="single" w:color="auto" w:sz="4" w:space="0"/>
            </w:tcBorders>
            <w:shd w:val="clear" w:color="auto" w:fill="auto"/>
            <w:vAlign w:val="center"/>
          </w:tcPr>
          <w:p w14:paraId="6962533B">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服务方案</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w:t>
            </w:r>
            <w:r>
              <w:rPr>
                <w:rFonts w:hint="default" w:ascii="仿宋" w:hAnsi="仿宋" w:eastAsia="仿宋" w:cs="宋体"/>
                <w:color w:val="000000"/>
                <w:kern w:val="0"/>
                <w:sz w:val="24"/>
                <w:szCs w:val="24"/>
                <w:lang w:val="en-US"/>
              </w:rPr>
              <w:t>5</w:t>
            </w:r>
            <w:r>
              <w:rPr>
                <w:rFonts w:hint="eastAsia" w:ascii="仿宋" w:hAnsi="仿宋" w:eastAsia="仿宋" w:cs="宋体"/>
                <w:color w:val="000000"/>
                <w:kern w:val="0"/>
                <w:sz w:val="24"/>
                <w:szCs w:val="24"/>
              </w:rPr>
              <w:t>分）</w:t>
            </w:r>
          </w:p>
        </w:tc>
        <w:tc>
          <w:tcPr>
            <w:tcW w:w="7087" w:type="dxa"/>
            <w:tcBorders>
              <w:top w:val="nil"/>
              <w:left w:val="nil"/>
              <w:bottom w:val="single" w:color="auto" w:sz="4" w:space="0"/>
              <w:right w:val="single" w:color="auto" w:sz="4" w:space="0"/>
            </w:tcBorders>
            <w:shd w:val="clear" w:color="auto" w:fill="auto"/>
            <w:vAlign w:val="center"/>
          </w:tcPr>
          <w:p w14:paraId="1DCF4568">
            <w:pPr>
              <w:widowControl/>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根据投标人提供的针对本项目的运维方案进行评分，运维方案中需包含配件安排、人员安排、应急响应等，且满足磋商文件要求。方案优秀的得1</w:t>
            </w:r>
            <w:r>
              <w:rPr>
                <w:rFonts w:hint="default" w:ascii="仿宋" w:hAnsi="仿宋" w:eastAsia="仿宋" w:cs="宋体"/>
                <w:color w:val="000000"/>
                <w:kern w:val="0"/>
                <w:sz w:val="24"/>
                <w:szCs w:val="24"/>
                <w:lang w:val="en-US"/>
              </w:rPr>
              <w:t>5</w:t>
            </w:r>
            <w:r>
              <w:rPr>
                <w:rFonts w:hint="eastAsia" w:ascii="仿宋" w:hAnsi="仿宋" w:eastAsia="仿宋" w:cs="宋体"/>
                <w:color w:val="000000"/>
                <w:kern w:val="0"/>
                <w:sz w:val="24"/>
                <w:szCs w:val="24"/>
              </w:rPr>
              <w:t>分，良好的得</w:t>
            </w:r>
            <w:r>
              <w:rPr>
                <w:rFonts w:hint="default" w:ascii="仿宋" w:hAnsi="仿宋" w:eastAsia="仿宋" w:cs="宋体"/>
                <w:color w:val="000000"/>
                <w:kern w:val="0"/>
                <w:sz w:val="24"/>
                <w:szCs w:val="24"/>
                <w:lang w:val="en-US"/>
              </w:rPr>
              <w:t>10</w:t>
            </w:r>
            <w:r>
              <w:rPr>
                <w:rFonts w:hint="eastAsia" w:ascii="仿宋" w:hAnsi="仿宋" w:eastAsia="仿宋" w:cs="宋体"/>
                <w:color w:val="000000"/>
                <w:kern w:val="0"/>
                <w:sz w:val="24"/>
                <w:szCs w:val="24"/>
              </w:rPr>
              <w:t>分，一般的得</w:t>
            </w:r>
            <w:r>
              <w:rPr>
                <w:rFonts w:hint="default" w:ascii="仿宋" w:hAnsi="仿宋" w:eastAsia="仿宋" w:cs="宋体"/>
                <w:color w:val="000000"/>
                <w:kern w:val="0"/>
                <w:sz w:val="24"/>
                <w:szCs w:val="24"/>
                <w:lang w:val="en-US"/>
              </w:rPr>
              <w:t>5</w:t>
            </w:r>
            <w:r>
              <w:rPr>
                <w:rFonts w:hint="eastAsia" w:ascii="仿宋" w:hAnsi="仿宋" w:eastAsia="仿宋" w:cs="宋体"/>
                <w:color w:val="000000"/>
                <w:kern w:val="0"/>
                <w:sz w:val="24"/>
                <w:szCs w:val="24"/>
              </w:rPr>
              <w:t>分，不合格的或者没有的不得分；</w:t>
            </w:r>
          </w:p>
        </w:tc>
      </w:tr>
    </w:tbl>
    <w:p w14:paraId="7C8F1965">
      <w:pPr>
        <w:ind w:firstLine="562" w:firstLineChars="200"/>
        <w:rPr>
          <w:rFonts w:ascii="仿宋" w:hAnsi="仿宋" w:eastAsia="仿宋" w:cs="Times New Roman"/>
          <w:b/>
          <w:bCs/>
          <w:sz w:val="28"/>
          <w:szCs w:val="28"/>
          <w:lang w:val="zh-CN"/>
        </w:rPr>
      </w:pPr>
      <w:r>
        <w:rPr>
          <w:rFonts w:hint="eastAsia" w:ascii="仿宋" w:hAnsi="仿宋" w:eastAsia="仿宋" w:cs="Times New Roman"/>
          <w:b/>
          <w:bCs/>
          <w:sz w:val="28"/>
          <w:szCs w:val="28"/>
          <w:lang w:val="zh-CN"/>
        </w:rPr>
        <w:t>价格分：</w:t>
      </w:r>
      <w:r>
        <w:rPr>
          <w:rFonts w:hint="default" w:ascii="仿宋" w:hAnsi="仿宋" w:eastAsia="仿宋" w:cs="Times New Roman"/>
          <w:b/>
          <w:bCs/>
          <w:sz w:val="28"/>
          <w:szCs w:val="28"/>
          <w:lang w:val="en-US"/>
        </w:rPr>
        <w:t>3</w:t>
      </w:r>
      <w:r>
        <w:rPr>
          <w:rFonts w:ascii="仿宋" w:hAnsi="仿宋" w:eastAsia="仿宋" w:cs="Times New Roman"/>
          <w:b/>
          <w:bCs/>
          <w:sz w:val="28"/>
          <w:szCs w:val="28"/>
          <w:lang w:val="zh-CN"/>
        </w:rPr>
        <w:t>0</w:t>
      </w:r>
      <w:r>
        <w:rPr>
          <w:rFonts w:hint="eastAsia" w:ascii="仿宋" w:hAnsi="仿宋" w:eastAsia="仿宋" w:cs="Times New Roman"/>
          <w:b/>
          <w:bCs/>
          <w:sz w:val="28"/>
          <w:szCs w:val="28"/>
          <w:lang w:val="zh-CN"/>
        </w:rPr>
        <w:t>分</w:t>
      </w:r>
    </w:p>
    <w:p w14:paraId="38356553">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价格标评标基准分为</w:t>
      </w:r>
      <w:r>
        <w:rPr>
          <w:rFonts w:hint="default" w:ascii="仿宋" w:hAnsi="仿宋" w:eastAsia="仿宋" w:cs="Times New Roman"/>
          <w:sz w:val="28"/>
          <w:szCs w:val="28"/>
          <w:lang w:val="en-US"/>
        </w:rPr>
        <w:t>3</w:t>
      </w:r>
      <w:r>
        <w:rPr>
          <w:rFonts w:ascii="仿宋" w:hAnsi="仿宋" w:eastAsia="仿宋" w:cs="Times New Roman"/>
          <w:sz w:val="28"/>
          <w:szCs w:val="28"/>
          <w:lang w:val="zh-CN"/>
        </w:rPr>
        <w:t>0</w:t>
      </w:r>
      <w:r>
        <w:rPr>
          <w:rFonts w:hint="eastAsia" w:ascii="仿宋" w:hAnsi="仿宋" w:eastAsia="仿宋" w:cs="Times New Roman"/>
          <w:sz w:val="28"/>
          <w:szCs w:val="28"/>
          <w:lang w:val="zh-CN"/>
        </w:rPr>
        <w:t>分，满足招标文件要求且投标价格最低的投标报价为评标基准价，其价格分为满分（</w:t>
      </w:r>
      <w:r>
        <w:rPr>
          <w:rFonts w:hint="default" w:ascii="仿宋" w:hAnsi="仿宋" w:eastAsia="仿宋" w:cs="Times New Roman"/>
          <w:sz w:val="28"/>
          <w:szCs w:val="28"/>
          <w:lang w:val="en-US"/>
        </w:rPr>
        <w:t>3</w:t>
      </w:r>
      <w:r>
        <w:rPr>
          <w:rFonts w:ascii="仿宋" w:hAnsi="仿宋" w:eastAsia="仿宋" w:cs="Times New Roman"/>
          <w:sz w:val="28"/>
          <w:szCs w:val="28"/>
          <w:lang w:val="zh-CN"/>
        </w:rPr>
        <w:t>0</w:t>
      </w:r>
      <w:r>
        <w:rPr>
          <w:rFonts w:hint="eastAsia" w:ascii="仿宋" w:hAnsi="仿宋" w:eastAsia="仿宋" w:cs="Times New Roman"/>
          <w:sz w:val="28"/>
          <w:szCs w:val="28"/>
          <w:lang w:val="zh-CN"/>
        </w:rPr>
        <w:t>分），其他投标人的价格分统一按照下列公式计算：</w:t>
      </w:r>
    </w:p>
    <w:p w14:paraId="64BB5EBF">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投标报价得分</w:t>
      </w:r>
      <w:r>
        <w:rPr>
          <w:rFonts w:ascii="仿宋" w:hAnsi="仿宋" w:eastAsia="仿宋" w:cs="Times New Roman"/>
          <w:sz w:val="28"/>
          <w:szCs w:val="28"/>
          <w:lang w:val="zh-CN"/>
        </w:rPr>
        <w:t>=(</w:t>
      </w:r>
      <w:r>
        <w:rPr>
          <w:rFonts w:hint="eastAsia" w:ascii="仿宋" w:hAnsi="仿宋" w:eastAsia="仿宋" w:cs="Times New Roman"/>
          <w:sz w:val="28"/>
          <w:szCs w:val="28"/>
          <w:lang w:val="zh-CN"/>
        </w:rPr>
        <w:t>投标基准价／最后投标报价</w:t>
      </w:r>
      <w:r>
        <w:rPr>
          <w:rFonts w:ascii="仿宋" w:hAnsi="仿宋" w:eastAsia="仿宋" w:cs="Times New Roman"/>
          <w:sz w:val="28"/>
          <w:szCs w:val="28"/>
          <w:lang w:val="zh-CN"/>
        </w:rPr>
        <w:t>)×</w:t>
      </w:r>
      <w:r>
        <w:rPr>
          <w:rFonts w:ascii="仿宋" w:hAnsi="仿宋" w:eastAsia="仿宋" w:cs="Times New Roman"/>
          <w:sz w:val="28"/>
          <w:szCs w:val="28"/>
          <w:lang w:val="en-US"/>
        </w:rPr>
        <w:t>3</w:t>
      </w:r>
      <w:r>
        <w:rPr>
          <w:rFonts w:ascii="仿宋" w:hAnsi="仿宋" w:eastAsia="仿宋" w:cs="Times New Roman"/>
          <w:sz w:val="28"/>
          <w:szCs w:val="28"/>
          <w:lang w:val="zh-CN"/>
        </w:rPr>
        <w:t>0×100%</w:t>
      </w:r>
      <w:r>
        <w:rPr>
          <w:rFonts w:hint="eastAsia" w:ascii="仿宋" w:hAnsi="仿宋" w:eastAsia="仿宋" w:cs="Times New Roman"/>
          <w:sz w:val="28"/>
          <w:szCs w:val="28"/>
          <w:lang w:val="zh-CN"/>
        </w:rPr>
        <w:t>。</w:t>
      </w:r>
    </w:p>
    <w:p w14:paraId="1240BDAB">
      <w:pPr>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14:paraId="39B00A32">
      <w:pPr>
        <w:pStyle w:val="2"/>
        <w:ind w:left="0" w:leftChars="0" w:firstLine="0" w:firstLineChars="0"/>
      </w:pPr>
    </w:p>
    <w:p w14:paraId="687F2911">
      <w:pPr>
        <w:ind w:firstLine="560" w:firstLineChars="200"/>
        <w:rPr>
          <w:rFonts w:ascii="仿宋" w:hAnsi="仿宋" w:eastAsia="仿宋" w:cs="Times New Roman"/>
          <w:sz w:val="28"/>
          <w:szCs w:val="28"/>
          <w:lang w:val="zh-CN"/>
        </w:rPr>
      </w:pPr>
    </w:p>
    <w:p w14:paraId="03A924F1">
      <w:pPr>
        <w:ind w:firstLine="560" w:firstLineChars="200"/>
        <w:rPr>
          <w:rFonts w:ascii="仿宋" w:hAnsi="仿宋" w:eastAsia="仿宋" w:cs="Times New Roman"/>
          <w:sz w:val="28"/>
          <w:szCs w:val="28"/>
          <w:lang w:val="zh-CN"/>
        </w:rPr>
        <w:sectPr>
          <w:pgSz w:w="11906" w:h="16838"/>
          <w:pgMar w:top="1560" w:right="1800" w:bottom="1440" w:left="1800" w:header="851" w:footer="657" w:gutter="0"/>
          <w:cols w:space="425" w:num="1"/>
          <w:docGrid w:type="lines" w:linePitch="312" w:charSpace="0"/>
        </w:sectPr>
      </w:pPr>
    </w:p>
    <w:p w14:paraId="3F1BF0A6">
      <w:pPr>
        <w:rPr>
          <w:rFonts w:ascii="宋体" w:hAnsi="Calibri" w:eastAsia="宋体" w:cs="Times New Roman"/>
          <w:b/>
          <w:bCs/>
          <w:sz w:val="24"/>
          <w:szCs w:val="24"/>
        </w:rPr>
      </w:pPr>
      <w:r>
        <w:rPr>
          <w:rFonts w:ascii="宋体"/>
          <w:b/>
          <w:bCs/>
          <w:sz w:val="24"/>
          <w:szCs w:val="24"/>
        </w:rPr>
        <w:t>附件</w:t>
      </w:r>
      <w:r>
        <w:rPr>
          <w:rFonts w:hint="eastAsia" w:ascii="宋体"/>
          <w:b/>
          <w:bCs/>
          <w:sz w:val="24"/>
          <w:szCs w:val="24"/>
        </w:rPr>
        <w:t>1：</w:t>
      </w:r>
    </w:p>
    <w:p w14:paraId="2DEBE38D">
      <w:pPr>
        <w:rPr>
          <w:rFonts w:ascii="宋体" w:hAnsi="Calibri" w:eastAsia="宋体" w:cs="Times New Roman"/>
          <w:sz w:val="24"/>
        </w:rPr>
      </w:pPr>
    </w:p>
    <w:p w14:paraId="4D856A7E">
      <w:pPr>
        <w:jc w:val="center"/>
        <w:rPr>
          <w:rFonts w:ascii="宋体" w:hAnsi="宋体" w:eastAsia="宋体" w:cs="Times New Roman"/>
          <w:b/>
          <w:bCs/>
          <w:sz w:val="36"/>
          <w:szCs w:val="36"/>
        </w:rPr>
      </w:pPr>
      <w:r>
        <w:rPr>
          <w:rFonts w:hint="eastAsia" w:ascii="宋体" w:hAnsi="宋体" w:eastAsia="宋体" w:cs="Times New Roman"/>
          <w:b/>
          <w:bCs/>
          <w:sz w:val="44"/>
          <w:szCs w:val="44"/>
          <w:lang w:val="zh-CN"/>
        </w:rPr>
        <w:t>投标承诺函</w:t>
      </w:r>
    </w:p>
    <w:p w14:paraId="12534E8D">
      <w:pPr>
        <w:spacing w:line="5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南通市数据局：</w:t>
      </w:r>
    </w:p>
    <w:p w14:paraId="20F9247B">
      <w:pPr>
        <w:spacing w:line="52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（供应商名称）郑重承诺：</w:t>
      </w:r>
    </w:p>
    <w:p w14:paraId="10F95170">
      <w:pPr>
        <w:snapToGri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47B5E57E">
      <w:pPr>
        <w:snapToGri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贵方组织的南通市数据局</w:t>
      </w:r>
      <w:r>
        <w:rPr>
          <w:rFonts w:hint="eastAsia" w:ascii="Times New Roman" w:hAnsi="Times New Roman" w:eastAsia="方正仿宋_GBK" w:cs="Times New Roman"/>
          <w:sz w:val="32"/>
          <w:szCs w:val="32"/>
        </w:rPr>
        <w:t>信息化集成设备运维项目</w:t>
      </w:r>
      <w:r>
        <w:rPr>
          <w:rFonts w:hint="eastAsia" w:ascii="方正仿宋_GBK" w:hAnsi="方正仿宋_GBK" w:eastAsia="方正仿宋_GBK" w:cs="方正仿宋_GBK"/>
          <w:sz w:val="32"/>
          <w:szCs w:val="32"/>
        </w:rPr>
        <w:t>，我单位所提交的材料均为真实的，且能提供满足供应要求的运维服务内容。</w:t>
      </w:r>
    </w:p>
    <w:p w14:paraId="2831E845">
      <w:pPr>
        <w:pStyle w:val="2"/>
        <w:spacing w:after="0"/>
        <w:ind w:firstLine="640"/>
        <w:rPr>
          <w:rFonts w:ascii="方正仿宋_GBK" w:hAnsi="方正仿宋_GBK" w:eastAsia="方正仿宋_GBK" w:cs="方正仿宋_GBK"/>
          <w:szCs w:val="32"/>
        </w:rPr>
      </w:pPr>
    </w:p>
    <w:p w14:paraId="1DA85C36">
      <w:pPr>
        <w:ind w:firstLine="560"/>
        <w:jc w:val="left"/>
        <w:rPr>
          <w:rFonts w:ascii="方正仿宋_GBK" w:hAnsi="方正仿宋_GBK" w:eastAsia="方正仿宋_GBK" w:cs="方正仿宋_GBK"/>
          <w:sz w:val="32"/>
          <w:szCs w:val="32"/>
        </w:rPr>
      </w:pPr>
    </w:p>
    <w:p w14:paraId="5EE63F7C">
      <w:pPr>
        <w:ind w:firstLine="560"/>
        <w:jc w:val="left"/>
        <w:rPr>
          <w:rFonts w:ascii="方正仿宋_GBK" w:hAnsi="方正仿宋_GBK" w:eastAsia="方正仿宋_GBK" w:cs="方正仿宋_GBK"/>
          <w:sz w:val="32"/>
          <w:szCs w:val="32"/>
        </w:rPr>
      </w:pPr>
    </w:p>
    <w:p w14:paraId="421E56E8">
      <w:pPr>
        <w:ind w:firstLine="56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承诺人：（公章）</w:t>
      </w:r>
    </w:p>
    <w:p w14:paraId="20F8DA79">
      <w:pPr>
        <w:ind w:firstLine="56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05E225C8">
      <w:pPr>
        <w:pStyle w:val="2"/>
        <w:ind w:firstLine="640"/>
        <w:rPr>
          <w:rFonts w:ascii="方正仿宋_GBK" w:hAnsi="方正仿宋_GBK" w:eastAsia="方正仿宋_GBK" w:cs="方正仿宋_GBK"/>
          <w:szCs w:val="32"/>
        </w:rPr>
      </w:pPr>
    </w:p>
    <w:p w14:paraId="4FD02A9E">
      <w:pPr>
        <w:pStyle w:val="2"/>
        <w:ind w:firstLine="640"/>
        <w:rPr>
          <w:rFonts w:ascii="方正仿宋_GBK" w:hAnsi="方正仿宋_GBK" w:eastAsia="方正仿宋_GBK" w:cs="方正仿宋_GBK"/>
          <w:szCs w:val="32"/>
        </w:rPr>
      </w:pPr>
    </w:p>
    <w:p w14:paraId="4F140AC8">
      <w:pPr>
        <w:rPr>
          <w:rFonts w:ascii="宋体"/>
          <w:b/>
          <w:bCs/>
          <w:sz w:val="24"/>
          <w:szCs w:val="24"/>
        </w:rPr>
        <w:sectPr>
          <w:pgSz w:w="11906" w:h="16838"/>
          <w:pgMar w:top="1560" w:right="1800" w:bottom="1440" w:left="1800" w:header="851" w:footer="657" w:gutter="0"/>
          <w:cols w:space="425" w:num="1"/>
          <w:docGrid w:type="lines" w:linePitch="312" w:charSpace="0"/>
        </w:sectPr>
      </w:pPr>
    </w:p>
    <w:p w14:paraId="159DFAE4">
      <w:pPr>
        <w:rPr>
          <w:rFonts w:ascii="宋体"/>
          <w:b/>
          <w:bCs/>
          <w:sz w:val="24"/>
          <w:szCs w:val="24"/>
        </w:rPr>
      </w:pPr>
      <w:r>
        <w:rPr>
          <w:rFonts w:ascii="宋体"/>
          <w:b/>
          <w:bCs/>
          <w:sz w:val="24"/>
          <w:szCs w:val="24"/>
        </w:rPr>
        <w:t>附件</w:t>
      </w:r>
      <w:r>
        <w:rPr>
          <w:rFonts w:hint="eastAsia" w:ascii="宋体"/>
          <w:b/>
          <w:bCs/>
          <w:sz w:val="24"/>
          <w:szCs w:val="24"/>
        </w:rPr>
        <w:t>2：</w:t>
      </w:r>
    </w:p>
    <w:p w14:paraId="68AEC1D6">
      <w:pPr>
        <w:snapToGrid w:val="0"/>
        <w:jc w:val="center"/>
        <w:rPr>
          <w:rFonts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rPr>
        <w:t>磋商</w:t>
      </w:r>
      <w:r>
        <w:rPr>
          <w:rFonts w:hint="eastAsia" w:ascii="方正小标宋_GBK" w:hAnsi="方正小标宋_GBK" w:eastAsia="方正小标宋_GBK" w:cs="方正小标宋_GBK"/>
          <w:sz w:val="44"/>
          <w:szCs w:val="44"/>
          <w:lang w:val="zh-CN"/>
        </w:rPr>
        <w:t>响应报价表</w:t>
      </w:r>
    </w:p>
    <w:p w14:paraId="134F13C0">
      <w:pPr>
        <w:pStyle w:val="10"/>
        <w:shd w:val="clear" w:color="auto" w:fill="FFFFFF"/>
        <w:spacing w:before="0" w:beforeAutospacing="0" w:after="75" w:afterAutospacing="0" w:line="525" w:lineRule="atLeast"/>
        <w:ind w:firstLine="420"/>
        <w:rPr>
          <w:rFonts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shd w:val="clear" w:color="auto" w:fill="FFFFFF"/>
        </w:rPr>
        <w:t>项目名称：</w:t>
      </w:r>
    </w:p>
    <w:tbl>
      <w:tblPr>
        <w:tblStyle w:val="11"/>
        <w:tblW w:w="8291" w:type="dxa"/>
        <w:tblCellSpacing w:w="0"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6"/>
        <w:gridCol w:w="1290"/>
        <w:gridCol w:w="4815"/>
        <w:gridCol w:w="1470"/>
      </w:tblGrid>
      <w:tr w14:paraId="159F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16" w:type="dxa"/>
            <w:shd w:val="clear" w:color="auto" w:fill="FFFFFF"/>
            <w:vAlign w:val="center"/>
          </w:tcPr>
          <w:p w14:paraId="5BB55A88">
            <w:pPr>
              <w:pStyle w:val="10"/>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序号</w:t>
            </w:r>
          </w:p>
        </w:tc>
        <w:tc>
          <w:tcPr>
            <w:tcW w:w="1290" w:type="dxa"/>
            <w:shd w:val="clear" w:color="auto" w:fill="FFFFFF"/>
            <w:vAlign w:val="center"/>
          </w:tcPr>
          <w:p w14:paraId="575EEC92">
            <w:pPr>
              <w:pStyle w:val="10"/>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报价轮次</w:t>
            </w:r>
          </w:p>
        </w:tc>
        <w:tc>
          <w:tcPr>
            <w:tcW w:w="4815" w:type="dxa"/>
            <w:shd w:val="clear" w:color="auto" w:fill="FFFFFF"/>
            <w:vAlign w:val="center"/>
          </w:tcPr>
          <w:p w14:paraId="6FA67CB8">
            <w:pPr>
              <w:pStyle w:val="10"/>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报价</w:t>
            </w:r>
          </w:p>
        </w:tc>
        <w:tc>
          <w:tcPr>
            <w:tcW w:w="1470" w:type="dxa"/>
            <w:shd w:val="clear" w:color="auto" w:fill="FFFFFF"/>
            <w:vAlign w:val="center"/>
          </w:tcPr>
          <w:p w14:paraId="610B9D52">
            <w:pPr>
              <w:pStyle w:val="10"/>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投标人签字</w:t>
            </w:r>
          </w:p>
        </w:tc>
      </w:tr>
      <w:tr w14:paraId="1993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16" w:type="dxa"/>
            <w:shd w:val="clear" w:color="auto" w:fill="FFFFFF"/>
            <w:vAlign w:val="center"/>
          </w:tcPr>
          <w:p w14:paraId="1A00C5D0">
            <w:pPr>
              <w:pStyle w:val="10"/>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1</w:t>
            </w:r>
          </w:p>
        </w:tc>
        <w:tc>
          <w:tcPr>
            <w:tcW w:w="1290" w:type="dxa"/>
            <w:shd w:val="clear" w:color="auto" w:fill="FFFFFF"/>
            <w:vAlign w:val="center"/>
          </w:tcPr>
          <w:p w14:paraId="2AB1822C">
            <w:pPr>
              <w:pStyle w:val="10"/>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首次</w:t>
            </w:r>
          </w:p>
        </w:tc>
        <w:tc>
          <w:tcPr>
            <w:tcW w:w="4815" w:type="dxa"/>
            <w:shd w:val="clear" w:color="auto" w:fill="FFFFFF"/>
            <w:vAlign w:val="center"/>
          </w:tcPr>
          <w:p w14:paraId="76DBA201">
            <w:pPr>
              <w:pStyle w:val="10"/>
              <w:wordWrap w:val="0"/>
              <w:spacing w:before="0" w:beforeAutospacing="0" w:after="75" w:afterAutospacing="0" w:line="525"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大写（人民币）：</w:t>
            </w:r>
          </w:p>
          <w:p w14:paraId="62E30044">
            <w:pPr>
              <w:pStyle w:val="10"/>
              <w:wordWrap w:val="0"/>
              <w:spacing w:before="0" w:beforeAutospacing="0" w:after="75" w:afterAutospacing="0" w:line="525"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小写（￥）：</w:t>
            </w:r>
          </w:p>
        </w:tc>
        <w:tc>
          <w:tcPr>
            <w:tcW w:w="1470" w:type="dxa"/>
            <w:shd w:val="clear" w:color="auto" w:fill="FFFFFF"/>
            <w:vAlign w:val="center"/>
          </w:tcPr>
          <w:p w14:paraId="398E0CF1">
            <w:pPr>
              <w:widowControl/>
              <w:wordWrap w:val="0"/>
              <w:jc w:val="left"/>
              <w:rPr>
                <w:rFonts w:ascii="方正仿宋_GBK" w:hAnsi="方正仿宋_GBK" w:eastAsia="方正仿宋_GBK" w:cs="方正仿宋_GBK"/>
                <w:color w:val="333333"/>
                <w:sz w:val="28"/>
                <w:szCs w:val="28"/>
              </w:rPr>
            </w:pPr>
          </w:p>
        </w:tc>
      </w:tr>
      <w:tr w14:paraId="524D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16" w:type="dxa"/>
            <w:shd w:val="clear" w:color="auto" w:fill="FFFFFF"/>
            <w:vAlign w:val="center"/>
          </w:tcPr>
          <w:p w14:paraId="41A5AF83">
            <w:pPr>
              <w:pStyle w:val="10"/>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2</w:t>
            </w:r>
          </w:p>
        </w:tc>
        <w:tc>
          <w:tcPr>
            <w:tcW w:w="1290" w:type="dxa"/>
            <w:shd w:val="clear" w:color="auto" w:fill="FFFFFF"/>
            <w:vAlign w:val="center"/>
          </w:tcPr>
          <w:p w14:paraId="0C4B0ECF">
            <w:pPr>
              <w:pStyle w:val="10"/>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第二次</w:t>
            </w:r>
          </w:p>
        </w:tc>
        <w:tc>
          <w:tcPr>
            <w:tcW w:w="4815" w:type="dxa"/>
            <w:shd w:val="clear" w:color="auto" w:fill="FFFFFF"/>
            <w:vAlign w:val="center"/>
          </w:tcPr>
          <w:p w14:paraId="3683C2FD">
            <w:pPr>
              <w:pStyle w:val="10"/>
              <w:wordWrap w:val="0"/>
              <w:spacing w:before="0" w:beforeAutospacing="0" w:after="75" w:afterAutospacing="0" w:line="525"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大写（人民币）：</w:t>
            </w:r>
          </w:p>
          <w:p w14:paraId="77DC28B1">
            <w:pPr>
              <w:pStyle w:val="10"/>
              <w:wordWrap w:val="0"/>
              <w:spacing w:before="0" w:beforeAutospacing="0" w:after="75" w:afterAutospacing="0" w:line="525"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小写（￥）：</w:t>
            </w:r>
          </w:p>
        </w:tc>
        <w:tc>
          <w:tcPr>
            <w:tcW w:w="1470" w:type="dxa"/>
            <w:shd w:val="clear" w:color="auto" w:fill="FFFFFF"/>
            <w:vAlign w:val="center"/>
          </w:tcPr>
          <w:p w14:paraId="541204C3">
            <w:pPr>
              <w:widowControl/>
              <w:wordWrap w:val="0"/>
              <w:jc w:val="left"/>
              <w:rPr>
                <w:rFonts w:ascii="方正仿宋_GBK" w:hAnsi="方正仿宋_GBK" w:eastAsia="方正仿宋_GBK" w:cs="方正仿宋_GBK"/>
                <w:color w:val="333333"/>
                <w:sz w:val="28"/>
                <w:szCs w:val="28"/>
              </w:rPr>
            </w:pPr>
          </w:p>
        </w:tc>
      </w:tr>
    </w:tbl>
    <w:p w14:paraId="0437473F">
      <w:pPr>
        <w:pStyle w:val="10"/>
        <w:shd w:val="clear" w:color="auto" w:fill="FFFFFF"/>
        <w:spacing w:before="0" w:beforeAutospacing="0" w:after="75" w:afterAutospacing="0" w:line="525" w:lineRule="atLeast"/>
        <w:ind w:firstLine="420"/>
        <w:rPr>
          <w:rFonts w:ascii="方正仿宋_GBK" w:hAnsi="方正仿宋_GBK" w:eastAsia="方正仿宋_GBK" w:cs="方正仿宋_GBK"/>
          <w:color w:val="333333"/>
          <w:sz w:val="28"/>
          <w:szCs w:val="28"/>
          <w:shd w:val="clear" w:color="auto" w:fill="FFFFFF"/>
        </w:rPr>
      </w:pPr>
    </w:p>
    <w:p w14:paraId="57B4FBA6">
      <w:pPr>
        <w:pStyle w:val="10"/>
        <w:shd w:val="clear" w:color="auto" w:fill="FFFFFF"/>
        <w:spacing w:before="0" w:beforeAutospacing="0" w:after="75" w:afterAutospacing="0" w:line="525" w:lineRule="atLeast"/>
        <w:ind w:firstLine="420"/>
        <w:rPr>
          <w:rFonts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shd w:val="clear" w:color="auto" w:fill="FFFFFF"/>
        </w:rPr>
        <w:t>投标单位：（盖章）</w:t>
      </w:r>
    </w:p>
    <w:p w14:paraId="5526FF3F">
      <w:pPr>
        <w:pStyle w:val="10"/>
        <w:shd w:val="clear" w:color="auto" w:fill="FFFFFF"/>
        <w:spacing w:before="0" w:beforeAutospacing="0" w:after="75" w:afterAutospacing="0" w:line="525" w:lineRule="atLeast"/>
        <w:ind w:firstLine="420"/>
        <w:rPr>
          <w:rFonts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shd w:val="clear" w:color="auto" w:fill="FFFFFF"/>
        </w:rPr>
        <w:t>日    期：</w:t>
      </w:r>
    </w:p>
    <w:p w14:paraId="541AFBF6">
      <w:pPr>
        <w:pStyle w:val="10"/>
        <w:shd w:val="clear" w:color="auto" w:fill="FFFFFF"/>
        <w:spacing w:before="0" w:beforeAutospacing="0" w:after="75" w:afterAutospacing="0" w:line="525" w:lineRule="atLeast"/>
        <w:ind w:firstLine="420"/>
        <w:rPr>
          <w:rFonts w:ascii="微软雅黑" w:hAnsi="微软雅黑" w:eastAsia="微软雅黑" w:cs="微软雅黑"/>
          <w:color w:val="333333"/>
          <w:sz w:val="27"/>
          <w:szCs w:val="27"/>
          <w:shd w:val="clear" w:color="auto" w:fill="FFFFFF"/>
        </w:rPr>
      </w:pPr>
    </w:p>
    <w:p w14:paraId="2A40F1AC">
      <w:pPr>
        <w:pStyle w:val="10"/>
        <w:shd w:val="clear" w:color="auto" w:fill="FFFFFF"/>
        <w:spacing w:before="0" w:beforeAutospacing="0" w:after="75" w:afterAutospacing="0" w:line="525" w:lineRule="atLeast"/>
        <w:ind w:firstLine="420"/>
        <w:rPr>
          <w:rFonts w:ascii="微软雅黑" w:hAnsi="微软雅黑" w:eastAsia="微软雅黑" w:cs="微软雅黑"/>
          <w:color w:val="333333"/>
          <w:sz w:val="27"/>
          <w:szCs w:val="27"/>
          <w:shd w:val="clear" w:color="auto" w:fill="FFFFFF"/>
        </w:rPr>
      </w:pPr>
    </w:p>
    <w:p w14:paraId="18841D24">
      <w:pPr>
        <w:pStyle w:val="10"/>
        <w:shd w:val="clear" w:color="auto" w:fill="FFFFFF"/>
        <w:spacing w:before="0" w:beforeAutospacing="0" w:after="75" w:afterAutospacing="0" w:line="525" w:lineRule="atLeast"/>
        <w:ind w:firstLine="420"/>
        <w:rPr>
          <w:rFonts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注：第二次报价在开标现场填写，磋商响应文件密封提交时只需填写首次磋商报价。</w:t>
      </w:r>
    </w:p>
    <w:p w14:paraId="3CD76CF4">
      <w:pPr>
        <w:ind w:firstLine="560" w:firstLineChars="200"/>
        <w:rPr>
          <w:rFonts w:ascii="仿宋" w:hAnsi="仿宋" w:eastAsia="仿宋" w:cs="Times New Roman"/>
          <w:sz w:val="28"/>
          <w:szCs w:val="28"/>
        </w:rPr>
      </w:pPr>
    </w:p>
    <w:sectPr>
      <w:footerReference r:id="rId3" w:type="default"/>
      <w:pgSz w:w="11906" w:h="16838"/>
      <w:pgMar w:top="1560" w:right="1800" w:bottom="1440"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B237C">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yZjhlZGRkZDZmY2ViMzQ2MWU3ZTUwYTEzMTQ2MTkifQ=="/>
  </w:docVars>
  <w:rsids>
    <w:rsidRoot w:val="007661A4"/>
    <w:rsid w:val="0003088A"/>
    <w:rsid w:val="00063538"/>
    <w:rsid w:val="00076635"/>
    <w:rsid w:val="000975A2"/>
    <w:rsid w:val="000A44B1"/>
    <w:rsid w:val="000A7D25"/>
    <w:rsid w:val="000C777C"/>
    <w:rsid w:val="000E1297"/>
    <w:rsid w:val="000F4506"/>
    <w:rsid w:val="000F5FD0"/>
    <w:rsid w:val="00142AD5"/>
    <w:rsid w:val="00151E3F"/>
    <w:rsid w:val="00155B7B"/>
    <w:rsid w:val="001561C7"/>
    <w:rsid w:val="00157275"/>
    <w:rsid w:val="0016302E"/>
    <w:rsid w:val="001704CA"/>
    <w:rsid w:val="00173619"/>
    <w:rsid w:val="00174E19"/>
    <w:rsid w:val="001A2970"/>
    <w:rsid w:val="001A2B8F"/>
    <w:rsid w:val="001A6E57"/>
    <w:rsid w:val="002108F4"/>
    <w:rsid w:val="00251CA5"/>
    <w:rsid w:val="00254E2F"/>
    <w:rsid w:val="002613C4"/>
    <w:rsid w:val="00270382"/>
    <w:rsid w:val="002843F3"/>
    <w:rsid w:val="002A2B26"/>
    <w:rsid w:val="002A3026"/>
    <w:rsid w:val="002B24A1"/>
    <w:rsid w:val="002B3B40"/>
    <w:rsid w:val="002B47CE"/>
    <w:rsid w:val="002F2018"/>
    <w:rsid w:val="002F620E"/>
    <w:rsid w:val="00311F3E"/>
    <w:rsid w:val="00315A83"/>
    <w:rsid w:val="00330AA7"/>
    <w:rsid w:val="00335B64"/>
    <w:rsid w:val="00366189"/>
    <w:rsid w:val="00381DBA"/>
    <w:rsid w:val="00393CD5"/>
    <w:rsid w:val="003B127A"/>
    <w:rsid w:val="003B50DE"/>
    <w:rsid w:val="003B7E1C"/>
    <w:rsid w:val="003C1748"/>
    <w:rsid w:val="003D6783"/>
    <w:rsid w:val="003F338A"/>
    <w:rsid w:val="003F37DE"/>
    <w:rsid w:val="004033B7"/>
    <w:rsid w:val="00425D03"/>
    <w:rsid w:val="00427288"/>
    <w:rsid w:val="004474F9"/>
    <w:rsid w:val="00452C3E"/>
    <w:rsid w:val="004565E0"/>
    <w:rsid w:val="00461495"/>
    <w:rsid w:val="00480B71"/>
    <w:rsid w:val="004822D1"/>
    <w:rsid w:val="00482C79"/>
    <w:rsid w:val="00507074"/>
    <w:rsid w:val="00515913"/>
    <w:rsid w:val="005431FF"/>
    <w:rsid w:val="00565C8F"/>
    <w:rsid w:val="00597549"/>
    <w:rsid w:val="005B0960"/>
    <w:rsid w:val="005B67E1"/>
    <w:rsid w:val="005D2DBC"/>
    <w:rsid w:val="005D40FE"/>
    <w:rsid w:val="005E0FCC"/>
    <w:rsid w:val="005E2AD7"/>
    <w:rsid w:val="005E3342"/>
    <w:rsid w:val="005F0B31"/>
    <w:rsid w:val="006135A4"/>
    <w:rsid w:val="00643047"/>
    <w:rsid w:val="00652BF8"/>
    <w:rsid w:val="00654C63"/>
    <w:rsid w:val="006A381D"/>
    <w:rsid w:val="006C071D"/>
    <w:rsid w:val="006C7F22"/>
    <w:rsid w:val="006D32E9"/>
    <w:rsid w:val="006E6CAC"/>
    <w:rsid w:val="006F18A3"/>
    <w:rsid w:val="00701AC2"/>
    <w:rsid w:val="00720CCB"/>
    <w:rsid w:val="007338EF"/>
    <w:rsid w:val="00736852"/>
    <w:rsid w:val="007463DF"/>
    <w:rsid w:val="007661A4"/>
    <w:rsid w:val="007666CE"/>
    <w:rsid w:val="0076673B"/>
    <w:rsid w:val="007759E6"/>
    <w:rsid w:val="00777F14"/>
    <w:rsid w:val="00784AB2"/>
    <w:rsid w:val="007C5A5D"/>
    <w:rsid w:val="007C6A1D"/>
    <w:rsid w:val="008005E6"/>
    <w:rsid w:val="00807EDF"/>
    <w:rsid w:val="00822A80"/>
    <w:rsid w:val="00870F88"/>
    <w:rsid w:val="00880D08"/>
    <w:rsid w:val="008A3513"/>
    <w:rsid w:val="008A651A"/>
    <w:rsid w:val="008A7631"/>
    <w:rsid w:val="008C28D4"/>
    <w:rsid w:val="008D1B33"/>
    <w:rsid w:val="008D5553"/>
    <w:rsid w:val="00900BB9"/>
    <w:rsid w:val="00901E27"/>
    <w:rsid w:val="009178CB"/>
    <w:rsid w:val="00933662"/>
    <w:rsid w:val="0093742B"/>
    <w:rsid w:val="00951867"/>
    <w:rsid w:val="00955618"/>
    <w:rsid w:val="009650E9"/>
    <w:rsid w:val="009B17AA"/>
    <w:rsid w:val="009B6FFF"/>
    <w:rsid w:val="009C0595"/>
    <w:rsid w:val="009C2248"/>
    <w:rsid w:val="009E10D1"/>
    <w:rsid w:val="009F3742"/>
    <w:rsid w:val="00A05794"/>
    <w:rsid w:val="00A109D3"/>
    <w:rsid w:val="00A13AD3"/>
    <w:rsid w:val="00A343E3"/>
    <w:rsid w:val="00A34BAA"/>
    <w:rsid w:val="00A72772"/>
    <w:rsid w:val="00A85B96"/>
    <w:rsid w:val="00A93B25"/>
    <w:rsid w:val="00AE1C1A"/>
    <w:rsid w:val="00B01487"/>
    <w:rsid w:val="00B024BA"/>
    <w:rsid w:val="00B03DA0"/>
    <w:rsid w:val="00B62395"/>
    <w:rsid w:val="00B76C3D"/>
    <w:rsid w:val="00B92DB9"/>
    <w:rsid w:val="00BB5270"/>
    <w:rsid w:val="00BC571A"/>
    <w:rsid w:val="00BE3885"/>
    <w:rsid w:val="00BF6D35"/>
    <w:rsid w:val="00C131BF"/>
    <w:rsid w:val="00C33214"/>
    <w:rsid w:val="00C42D66"/>
    <w:rsid w:val="00C63127"/>
    <w:rsid w:val="00C974E0"/>
    <w:rsid w:val="00C97DA6"/>
    <w:rsid w:val="00CA2737"/>
    <w:rsid w:val="00CA3887"/>
    <w:rsid w:val="00CA70B4"/>
    <w:rsid w:val="00CB7C65"/>
    <w:rsid w:val="00CC2FD4"/>
    <w:rsid w:val="00CC7906"/>
    <w:rsid w:val="00CF0D64"/>
    <w:rsid w:val="00D11EF8"/>
    <w:rsid w:val="00D14A58"/>
    <w:rsid w:val="00D17BEF"/>
    <w:rsid w:val="00D20E99"/>
    <w:rsid w:val="00D352A2"/>
    <w:rsid w:val="00D364E0"/>
    <w:rsid w:val="00D6240D"/>
    <w:rsid w:val="00D7523F"/>
    <w:rsid w:val="00DF5845"/>
    <w:rsid w:val="00E03478"/>
    <w:rsid w:val="00E30E35"/>
    <w:rsid w:val="00E4379C"/>
    <w:rsid w:val="00E469A8"/>
    <w:rsid w:val="00E5655E"/>
    <w:rsid w:val="00E66C1D"/>
    <w:rsid w:val="00E86183"/>
    <w:rsid w:val="00EA2FC9"/>
    <w:rsid w:val="00EA7652"/>
    <w:rsid w:val="00EC477C"/>
    <w:rsid w:val="00EC71C3"/>
    <w:rsid w:val="00ED5B24"/>
    <w:rsid w:val="00EF0CB5"/>
    <w:rsid w:val="00EF3862"/>
    <w:rsid w:val="00F0538E"/>
    <w:rsid w:val="00F12234"/>
    <w:rsid w:val="00F30DEC"/>
    <w:rsid w:val="00F343CE"/>
    <w:rsid w:val="00F5599C"/>
    <w:rsid w:val="00F75E49"/>
    <w:rsid w:val="00FA329E"/>
    <w:rsid w:val="00FA4C70"/>
    <w:rsid w:val="00FC1E64"/>
    <w:rsid w:val="00FF75EC"/>
    <w:rsid w:val="071C4121"/>
    <w:rsid w:val="0A116B8A"/>
    <w:rsid w:val="0A25275B"/>
    <w:rsid w:val="0CAF2AA4"/>
    <w:rsid w:val="0E61035D"/>
    <w:rsid w:val="102B3E33"/>
    <w:rsid w:val="10910273"/>
    <w:rsid w:val="10C747CA"/>
    <w:rsid w:val="12B97AC7"/>
    <w:rsid w:val="16DD7A28"/>
    <w:rsid w:val="16FA3937"/>
    <w:rsid w:val="17EA0D40"/>
    <w:rsid w:val="1AC10063"/>
    <w:rsid w:val="1C5326B0"/>
    <w:rsid w:val="1D3B5CC0"/>
    <w:rsid w:val="22A00CC2"/>
    <w:rsid w:val="252A06A8"/>
    <w:rsid w:val="25D845A8"/>
    <w:rsid w:val="26075D3E"/>
    <w:rsid w:val="26EB53DA"/>
    <w:rsid w:val="27736699"/>
    <w:rsid w:val="2D504A66"/>
    <w:rsid w:val="2D8172D3"/>
    <w:rsid w:val="2E9D5158"/>
    <w:rsid w:val="30A17120"/>
    <w:rsid w:val="310419CD"/>
    <w:rsid w:val="313F2370"/>
    <w:rsid w:val="31BC0BA2"/>
    <w:rsid w:val="33541FD5"/>
    <w:rsid w:val="33952DD9"/>
    <w:rsid w:val="35A75FA3"/>
    <w:rsid w:val="362575FC"/>
    <w:rsid w:val="36AC48C6"/>
    <w:rsid w:val="37283891"/>
    <w:rsid w:val="37921BAF"/>
    <w:rsid w:val="3978384E"/>
    <w:rsid w:val="3E466D74"/>
    <w:rsid w:val="43326C4D"/>
    <w:rsid w:val="43C618DC"/>
    <w:rsid w:val="440F45B0"/>
    <w:rsid w:val="45EA7CB3"/>
    <w:rsid w:val="47090492"/>
    <w:rsid w:val="4D86770C"/>
    <w:rsid w:val="5383011A"/>
    <w:rsid w:val="552159DD"/>
    <w:rsid w:val="55C850F9"/>
    <w:rsid w:val="56686E91"/>
    <w:rsid w:val="57C4203E"/>
    <w:rsid w:val="59942F60"/>
    <w:rsid w:val="5A755946"/>
    <w:rsid w:val="5B4A37F6"/>
    <w:rsid w:val="5C964D4C"/>
    <w:rsid w:val="5FB609CD"/>
    <w:rsid w:val="608F0419"/>
    <w:rsid w:val="61081953"/>
    <w:rsid w:val="61756C12"/>
    <w:rsid w:val="63377C50"/>
    <w:rsid w:val="66770C98"/>
    <w:rsid w:val="679333DD"/>
    <w:rsid w:val="68AA3123"/>
    <w:rsid w:val="69167CCA"/>
    <w:rsid w:val="6BB814D3"/>
    <w:rsid w:val="6C1608F7"/>
    <w:rsid w:val="6C5166A9"/>
    <w:rsid w:val="744460E9"/>
    <w:rsid w:val="749113CE"/>
    <w:rsid w:val="7B5A1010"/>
    <w:rsid w:val="7C063553"/>
    <w:rsid w:val="7CFC2316"/>
    <w:rsid w:val="7F734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6"/>
    <w:qFormat/>
    <w:uiPriority w:val="9"/>
    <w:pPr>
      <w:widowControl/>
      <w:jc w:val="center"/>
      <w:outlineLvl w:val="0"/>
    </w:pPr>
    <w:rPr>
      <w:rFonts w:ascii="Times New Roman" w:hAnsi="Times New Roman" w:eastAsia="黑体" w:cs="Times New Roman"/>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 w:val="32"/>
      <w:szCs w:val="24"/>
    </w:rPr>
  </w:style>
  <w:style w:type="paragraph" w:styleId="3">
    <w:name w:val="Body Text Indent"/>
    <w:basedOn w:val="1"/>
    <w:next w:val="4"/>
    <w:semiHidden/>
    <w:unhideWhenUsed/>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6">
    <w:name w:val="Block Text"/>
    <w:basedOn w:val="1"/>
    <w:qFormat/>
    <w:uiPriority w:val="99"/>
    <w:pPr>
      <w:spacing w:after="120"/>
      <w:ind w:left="1440" w:leftChars="700" w:right="700" w:rightChars="700"/>
    </w:pPr>
  </w:style>
  <w:style w:type="paragraph" w:styleId="7">
    <w:name w:val="Balloon Text"/>
    <w:basedOn w:val="1"/>
    <w:link w:val="18"/>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character" w:customStyle="1" w:styleId="15">
    <w:name w:val="页眉 字符"/>
    <w:basedOn w:val="13"/>
    <w:link w:val="9"/>
    <w:semiHidden/>
    <w:qFormat/>
    <w:uiPriority w:val="99"/>
    <w:rPr>
      <w:sz w:val="18"/>
      <w:szCs w:val="18"/>
    </w:rPr>
  </w:style>
  <w:style w:type="character" w:customStyle="1" w:styleId="16">
    <w:name w:val="页脚 字符"/>
    <w:basedOn w:val="13"/>
    <w:link w:val="8"/>
    <w:qFormat/>
    <w:uiPriority w:val="99"/>
    <w:rPr>
      <w:sz w:val="18"/>
      <w:szCs w:val="18"/>
    </w:rPr>
  </w:style>
  <w:style w:type="paragraph" w:customStyle="1" w:styleId="17">
    <w:name w:val="p0"/>
    <w:basedOn w:val="1"/>
    <w:qFormat/>
    <w:uiPriority w:val="0"/>
    <w:pPr>
      <w:widowControl/>
    </w:pPr>
    <w:rPr>
      <w:rFonts w:ascii="Calibri" w:hAnsi="Calibri" w:eastAsia="宋体" w:cs="Calibri"/>
      <w:kern w:val="0"/>
      <w:szCs w:val="21"/>
    </w:rPr>
  </w:style>
  <w:style w:type="character" w:customStyle="1" w:styleId="18">
    <w:name w:val="批注框文本 字符"/>
    <w:basedOn w:val="13"/>
    <w:link w:val="7"/>
    <w:semiHidden/>
    <w:qFormat/>
    <w:uiPriority w:val="99"/>
    <w:rPr>
      <w:sz w:val="18"/>
      <w:szCs w:val="18"/>
    </w:rPr>
  </w:style>
  <w:style w:type="paragraph" w:customStyle="1" w:styleId="19">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20">
    <w:name w:val="List Paragraph"/>
    <w:basedOn w:val="1"/>
    <w:qFormat/>
    <w:uiPriority w:val="34"/>
    <w:pPr>
      <w:ind w:firstLine="420" w:firstLineChars="200"/>
    </w:pPr>
  </w:style>
  <w:style w:type="table" w:customStyle="1" w:styleId="21">
    <w:name w:val="网格型1"/>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内容正文"/>
    <w:basedOn w:val="1"/>
    <w:qFormat/>
    <w:uiPriority w:val="0"/>
    <w:pPr>
      <w:snapToGrid w:val="0"/>
      <w:ind w:firstLine="200" w:firstLineChars="200"/>
      <w:contextualSpacing/>
      <w:jc w:val="left"/>
    </w:pPr>
    <w:rPr>
      <w:rFonts w:ascii="仿宋" w:hAnsi="仿宋" w:eastAsia="仿宋"/>
      <w:sz w:val="28"/>
      <w:szCs w:val="28"/>
    </w:rPr>
  </w:style>
  <w:style w:type="character" w:customStyle="1" w:styleId="23">
    <w:name w:val="font41"/>
    <w:basedOn w:val="13"/>
    <w:qFormat/>
    <w:uiPriority w:val="0"/>
    <w:rPr>
      <w:rFonts w:hint="eastAsia" w:ascii="宋体" w:hAnsi="宋体" w:eastAsia="宋体" w:cs="宋体"/>
      <w:color w:val="000000"/>
      <w:sz w:val="20"/>
      <w:szCs w:val="20"/>
      <w:u w:val="none"/>
    </w:rPr>
  </w:style>
  <w:style w:type="character" w:customStyle="1" w:styleId="24">
    <w:name w:val="font11"/>
    <w:basedOn w:val="13"/>
    <w:qFormat/>
    <w:uiPriority w:val="0"/>
    <w:rPr>
      <w:rFonts w:hint="default" w:ascii="Times New Roman" w:hAnsi="Times New Roman" w:cs="Times New Roman"/>
      <w:color w:val="000000"/>
      <w:sz w:val="22"/>
      <w:szCs w:val="22"/>
      <w:u w:val="none"/>
    </w:rPr>
  </w:style>
  <w:style w:type="character" w:customStyle="1" w:styleId="25">
    <w:name w:val="font61"/>
    <w:basedOn w:val="13"/>
    <w:qFormat/>
    <w:uiPriority w:val="0"/>
    <w:rPr>
      <w:rFonts w:hint="eastAsia" w:ascii="宋体" w:hAnsi="宋体" w:eastAsia="宋体" w:cs="宋体"/>
      <w:color w:val="000000"/>
      <w:sz w:val="22"/>
      <w:szCs w:val="22"/>
      <w:u w:val="none"/>
    </w:rPr>
  </w:style>
  <w:style w:type="character" w:customStyle="1" w:styleId="26">
    <w:name w:val="标题 1 字符"/>
    <w:basedOn w:val="13"/>
    <w:link w:val="5"/>
    <w:qFormat/>
    <w:uiPriority w:val="9"/>
    <w:rPr>
      <w:rFonts w:eastAsia="黑体"/>
      <w:kern w:val="2"/>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ABCFB-E165-4C24-BF7A-6CF98306588F}">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3990</Words>
  <Characters>4677</Characters>
  <Lines>36</Lines>
  <Paragraphs>10</Paragraphs>
  <TotalTime>4</TotalTime>
  <ScaleCrop>false</ScaleCrop>
  <LinksUpToDate>false</LinksUpToDate>
  <CharactersWithSpaces>4813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2023-09-05T05:54:00Z</dcterms:created>
  <dc:creator>USER</dc:creator>
  <cp:lastModifiedBy>飞鱼</cp:lastModifiedBy>
  <cp:lastPrinted>2022-08-16T03:06:00Z</cp:lastPrinted>
  <dcterms:modified xsi:type="dcterms:W3CDTF">2024-09-30T13:18:42Z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2052-12.1.0.18276</vt:lpwstr>
  </property>
  <property fmtid="{D5CDD505-2E9C-101B-9397-08002B2CF9AE}" pid="4" name="ICV">
    <vt:lpwstr>C2C80AEC874844AE959D309A8BFFE3FE</vt:lpwstr>
  </property>
</Properties>
</file>