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bidi w:val="0"/>
        <w:spacing w:line="580" w:lineRule="exact"/>
        <w:jc w:val="center"/>
        <w:textAlignment w:val="auto"/>
        <w:rPr>
          <w:rFonts w:hint="eastAsia" w:ascii="Times New Roman" w:hAnsi="Times New Roman" w:eastAsia="黑体" w:cs="Times New Roman"/>
          <w:sz w:val="44"/>
          <w:szCs w:val="44"/>
          <w:lang w:val="en-US" w:eastAsia="zh-CN"/>
        </w:rPr>
      </w:pPr>
      <w:bookmarkStart w:id="2" w:name="_GoBack"/>
      <w:bookmarkEnd w:id="2"/>
      <w:r>
        <w:rPr>
          <w:rFonts w:hint="eastAsia" w:ascii="Times New Roman" w:hAnsi="Times New Roman" w:eastAsia="黑体" w:cs="Times New Roman"/>
          <w:sz w:val="44"/>
          <w:szCs w:val="44"/>
          <w:lang w:val="en-US" w:eastAsia="zh-CN"/>
        </w:rPr>
        <w:t>南通市数据局局机关、政务服务大厅信息化设备及网络运维服务项目</w:t>
      </w:r>
    </w:p>
    <w:p>
      <w:pPr>
        <w:keepNext w:val="0"/>
        <w:keepLines w:val="0"/>
        <w:pageBreakBefore w:val="0"/>
        <w:widowControl/>
        <w:kinsoku/>
        <w:overflowPunct/>
        <w:topLinePunct w:val="0"/>
        <w:bidi w:val="0"/>
        <w:spacing w:line="580" w:lineRule="exact"/>
        <w:jc w:val="center"/>
        <w:textAlignment w:val="auto"/>
        <w:rPr>
          <w:rFonts w:ascii="Times New Roman" w:hAnsi="Times New Roman" w:eastAsia="黑体" w:cs="Times New Roman"/>
          <w:sz w:val="44"/>
          <w:szCs w:val="44"/>
        </w:rPr>
      </w:pPr>
      <w:r>
        <w:rPr>
          <w:rFonts w:hint="eastAsia" w:ascii="Times New Roman" w:hAnsi="Times New Roman" w:eastAsia="黑体" w:cs="Times New Roman"/>
          <w:sz w:val="44"/>
          <w:szCs w:val="44"/>
          <w:lang w:val="en-US" w:eastAsia="zh-CN"/>
        </w:rPr>
        <w:t>竞争性磋商采购</w:t>
      </w:r>
      <w:r>
        <w:rPr>
          <w:rFonts w:hint="eastAsia" w:ascii="Times New Roman" w:hAnsi="Times New Roman" w:eastAsia="黑体" w:cs="Times New Roman"/>
          <w:sz w:val="44"/>
          <w:szCs w:val="44"/>
          <w:lang w:val="zh-CN" w:eastAsia="zh-CN"/>
        </w:rPr>
        <w:t>需求</w:t>
      </w:r>
    </w:p>
    <w:p>
      <w:pPr>
        <w:keepNext w:val="0"/>
        <w:keepLines w:val="0"/>
        <w:pageBreakBefore w:val="0"/>
        <w:kinsoku/>
        <w:overflowPunct/>
        <w:topLinePunct w:val="0"/>
        <w:bidi w:val="0"/>
        <w:spacing w:line="580" w:lineRule="exact"/>
        <w:ind w:firstLine="720" w:firstLineChars="225"/>
        <w:textAlignment w:val="auto"/>
        <w:rPr>
          <w:rFonts w:ascii="Times New Roman" w:hAnsi="Times New Roman" w:eastAsia="方正仿宋_GBK" w:cs="Times New Roman"/>
          <w:sz w:val="32"/>
          <w:szCs w:val="32"/>
        </w:rPr>
      </w:pPr>
    </w:p>
    <w:p>
      <w:pPr>
        <w:pStyle w:val="23"/>
        <w:keepNext w:val="0"/>
        <w:keepLines w:val="0"/>
        <w:pageBreakBefore w:val="0"/>
        <w:widowControl w:val="0"/>
        <w:numPr>
          <w:ilvl w:val="0"/>
          <w:numId w:val="0"/>
        </w:numPr>
        <w:tabs>
          <w:tab w:val="left" w:pos="5325"/>
        </w:tabs>
        <w:kinsoku/>
        <w:wordWrap/>
        <w:overflowPunct/>
        <w:topLinePunct w:val="0"/>
        <w:autoSpaceDE/>
        <w:autoSpaceDN/>
        <w:bidi w:val="0"/>
        <w:adjustRightInd/>
        <w:snapToGrid w:val="0"/>
        <w:spacing w:line="580" w:lineRule="exact"/>
        <w:contextualSpacing/>
        <w:textAlignment w:val="auto"/>
        <w:rPr>
          <w:rFonts w:ascii="黑体" w:hAnsi="黑体" w:eastAsia="黑体" w:cs="Times New Roman"/>
          <w:sz w:val="32"/>
          <w:szCs w:val="32"/>
        </w:rPr>
      </w:pPr>
      <w:bookmarkStart w:id="0" w:name="_Toc344724549"/>
      <w:r>
        <w:rPr>
          <w:rFonts w:hint="default" w:ascii="黑体" w:hAnsi="黑体" w:eastAsia="黑体" w:cs="Times New Roman"/>
          <w:kern w:val="2"/>
          <w:sz w:val="32"/>
          <w:szCs w:val="32"/>
          <w:lang w:val="en-US" w:eastAsia="zh-CN" w:bidi="ar-SA"/>
        </w:rPr>
        <w:t>一、</w:t>
      </w:r>
      <w:r>
        <w:rPr>
          <w:rFonts w:hint="eastAsia" w:ascii="黑体" w:hAnsi="黑体" w:eastAsia="黑体" w:cs="Times New Roman"/>
          <w:sz w:val="32"/>
          <w:szCs w:val="32"/>
        </w:rPr>
        <w:t>基本</w:t>
      </w:r>
      <w:r>
        <w:rPr>
          <w:rFonts w:ascii="黑体" w:hAnsi="黑体" w:eastAsia="黑体" w:cs="Times New Roman"/>
          <w:sz w:val="32"/>
          <w:szCs w:val="32"/>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highlight w:val="yellow"/>
          <w:lang w:val="en-US" w:eastAsia="zh-CN" w:bidi="ar-SA"/>
          <w14:textFill>
            <w14:solidFill>
              <w14:schemeClr w14:val="tx1"/>
            </w14:solidFill>
          </w14:textFill>
        </w:rPr>
      </w:pPr>
      <w:r>
        <w:rPr>
          <w:rFonts w:hint="eastAsia" w:ascii="Times New Roman" w:hAnsi="Times New Roman" w:eastAsia="方正仿宋_GBK"/>
          <w:sz w:val="32"/>
          <w:szCs w:val="32"/>
          <w:lang w:val="en-US" w:eastAsia="zh-CN"/>
        </w:rPr>
        <w:t>南通市数据局、政务服务大厅信息化设备及网络运维服务项目是</w:t>
      </w:r>
      <w:r>
        <w:rPr>
          <w:rFonts w:hint="eastAsia" w:ascii="Times New Roman" w:hAnsi="Times New Roman" w:eastAsia="方正仿宋_GBK"/>
          <w:sz w:val="32"/>
          <w:szCs w:val="32"/>
        </w:rPr>
        <w:t>为保障局机关及大厅信息化设备、网络及相关应用的稳定运行，做好自建</w:t>
      </w:r>
      <w:r>
        <w:rPr>
          <w:rFonts w:hint="default" w:ascii="Times New Roman" w:hAnsi="Times New Roman" w:eastAsia="方正仿宋_GBK"/>
          <w:sz w:val="32"/>
          <w:szCs w:val="32"/>
        </w:rPr>
        <w:t>服务器</w:t>
      </w:r>
      <w:r>
        <w:rPr>
          <w:rFonts w:hint="eastAsia" w:ascii="Times New Roman" w:hAnsi="Times New Roman" w:eastAsia="方正仿宋_GBK"/>
          <w:sz w:val="32"/>
          <w:szCs w:val="32"/>
        </w:rPr>
        <w:t>云平台、网络安全设备、云安全资源池相关配置</w:t>
      </w:r>
      <w:r>
        <w:rPr>
          <w:rFonts w:hint="eastAsia" w:ascii="Times New Roman" w:hAnsi="Times New Roman" w:eastAsia="方正仿宋_GBK"/>
          <w:sz w:val="32"/>
          <w:szCs w:val="32"/>
          <w:lang w:val="en-US" w:eastAsia="zh-CN"/>
        </w:rPr>
        <w:t>等</w:t>
      </w:r>
      <w:r>
        <w:rPr>
          <w:rFonts w:hint="eastAsia" w:ascii="Times New Roman" w:hAnsi="Times New Roman" w:eastAsia="方正仿宋_GBK"/>
          <w:sz w:val="32"/>
          <w:szCs w:val="32"/>
        </w:rPr>
        <w:t>工作</w:t>
      </w:r>
      <w:r>
        <w:rPr>
          <w:rFonts w:hint="eastAsia" w:ascii="Times New Roman" w:hAnsi="Times New Roman" w:eastAsia="方正仿宋_GBK"/>
          <w:sz w:val="32"/>
          <w:szCs w:val="32"/>
          <w:lang w:val="en-US" w:eastAsia="zh-CN"/>
        </w:rPr>
        <w:t>采购的驻场运维保障服务。</w:t>
      </w:r>
    </w:p>
    <w:p>
      <w:pPr>
        <w:pStyle w:val="23"/>
        <w:keepNext w:val="0"/>
        <w:keepLines w:val="0"/>
        <w:pageBreakBefore w:val="0"/>
        <w:widowControl w:val="0"/>
        <w:numPr>
          <w:ilvl w:val="0"/>
          <w:numId w:val="0"/>
        </w:numPr>
        <w:tabs>
          <w:tab w:val="left" w:pos="5325"/>
        </w:tabs>
        <w:kinsoku/>
        <w:wordWrap/>
        <w:overflowPunct/>
        <w:topLinePunct w:val="0"/>
        <w:autoSpaceDE/>
        <w:autoSpaceDN/>
        <w:bidi w:val="0"/>
        <w:adjustRightInd/>
        <w:snapToGrid w:val="0"/>
        <w:spacing w:line="580" w:lineRule="exact"/>
        <w:contextualSpacing/>
        <w:textAlignment w:val="auto"/>
        <w:rPr>
          <w:rFonts w:hint="default" w:ascii="黑体" w:hAnsi="黑体" w:eastAsia="黑体" w:cs="Times New Roman"/>
          <w:sz w:val="32"/>
          <w:szCs w:val="32"/>
          <w:lang w:val="en-US" w:eastAsia="zh-CN"/>
        </w:rPr>
      </w:pPr>
      <w:bookmarkStart w:id="1" w:name="_Hlk70068067"/>
      <w:r>
        <w:rPr>
          <w:rFonts w:hint="default" w:ascii="黑体" w:hAnsi="黑体" w:eastAsia="黑体" w:cs="Times New Roman"/>
          <w:kern w:val="2"/>
          <w:sz w:val="32"/>
          <w:szCs w:val="32"/>
          <w:lang w:val="en-US" w:eastAsia="zh-CN" w:bidi="ar-SA"/>
        </w:rPr>
        <w:t>二、</w:t>
      </w:r>
      <w:r>
        <w:rPr>
          <w:rFonts w:hint="eastAsia" w:ascii="黑体" w:hAnsi="黑体" w:eastAsia="黑体" w:cs="Times New Roman"/>
          <w:kern w:val="2"/>
          <w:sz w:val="32"/>
          <w:szCs w:val="32"/>
          <w:lang w:val="en-US" w:eastAsia="zh-CN" w:bidi="ar-SA"/>
        </w:rPr>
        <w:t>运维</w:t>
      </w:r>
      <w:r>
        <w:rPr>
          <w:rFonts w:hint="eastAsia" w:ascii="黑体" w:hAnsi="黑体" w:eastAsia="黑体" w:cs="Times New Roman"/>
          <w:sz w:val="32"/>
          <w:szCs w:val="32"/>
        </w:rPr>
        <w:t>内容</w:t>
      </w:r>
      <w:bookmarkEnd w:id="1"/>
    </w:p>
    <w:p>
      <w:pPr>
        <w:spacing w:line="580"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color w:val="000000" w:themeColor="text1"/>
          <w:sz w:val="32"/>
          <w:szCs w:val="32"/>
          <w14:textFill>
            <w14:solidFill>
              <w14:schemeClr w14:val="tx1"/>
            </w14:solidFill>
          </w14:textFill>
        </w:rPr>
        <w:t>信息化终端设备</w:t>
      </w:r>
    </w:p>
    <w:p>
      <w:pPr>
        <w:spacing w:line="580"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1. 负责局机关及政务大厅1、2楼信息化终端设备的软硬件维护服务工作，涵盖窗口、工作间及办公室使用的计算机及外设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共计910台套。</w:t>
      </w:r>
    </w:p>
    <w:p>
      <w:pPr>
        <w:spacing w:line="580"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2. 负责局机关及政务大厅1、2、3楼和4楼公积金业务区域内大屏、窗口显示屏、查询机、落地屏、取号机、立柱屏的配置备份、故障排查及终端维修工作。具体包括信息发布设备1234台套、LED大屏4套、查询取号设备20台套。</w:t>
      </w:r>
    </w:p>
    <w:p>
      <w:pPr>
        <w:spacing w:line="580" w:lineRule="exact"/>
        <w:ind w:firstLine="640"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3. 负责局机关及政务大厅监控系统的业务配置与故障排查工作，涉及局机关及政务大厅1、2楼所使用的网络摄像机、硬盘录像机、编解码器、显控平台及监控平台等数字监控设备共计685台套。</w:t>
      </w:r>
    </w:p>
    <w:p>
      <w:pPr>
        <w:pStyle w:val="12"/>
        <w:spacing w:after="0" w:line="580" w:lineRule="exact"/>
        <w:ind w:left="0" w:leftChars="0" w:firstLine="640"/>
        <w:rPr>
          <w:rFonts w:hint="eastAsia" w:ascii="方正楷体_GBK" w:hAnsi="方正楷体_GBK" w:eastAsia="方正楷体_GBK" w:cs="方正楷体_GBK"/>
          <w:color w:val="000000" w:themeColor="text1"/>
          <w:szCs w:val="32"/>
          <w14:textFill>
            <w14:solidFill>
              <w14:schemeClr w14:val="tx1"/>
            </w14:solidFill>
          </w14:textFill>
        </w:rPr>
      </w:pPr>
      <w:r>
        <w:rPr>
          <w:rFonts w:hint="eastAsia" w:ascii="方正楷体_GBK" w:hAnsi="方正楷体_GBK" w:eastAsia="方正楷体_GBK" w:cs="方正楷体_GBK"/>
          <w:color w:val="000000" w:themeColor="text1"/>
          <w:szCs w:val="32"/>
          <w14:textFill>
            <w14:solidFill>
              <w14:schemeClr w14:val="tx1"/>
            </w14:solidFill>
          </w14:textFill>
        </w:rPr>
        <w:t>（二）机房出入、网络交换设备及门禁设备</w:t>
      </w:r>
    </w:p>
    <w:p>
      <w:pPr>
        <w:pStyle w:val="12"/>
        <w:spacing w:after="0" w:line="580" w:lineRule="exact"/>
        <w:ind w:left="0" w:leftChars="0" w:firstLine="640"/>
        <w:rPr>
          <w:rFonts w:ascii="Times New Roman" w:hAnsi="Times New Roman" w:eastAsia="方正仿宋_GBK" w:cs="Times New Roman"/>
          <w:color w:val="000000" w:themeColor="text1"/>
          <w:szCs w:val="32"/>
          <w14:textFill>
            <w14:solidFill>
              <w14:schemeClr w14:val="tx1"/>
            </w14:solidFill>
          </w14:textFill>
        </w:rPr>
      </w:pPr>
      <w:r>
        <w:rPr>
          <w:rFonts w:ascii="Times New Roman" w:hAnsi="Times New Roman" w:eastAsia="方正仿宋_GBK" w:cs="Times New Roman"/>
          <w:color w:val="000000" w:themeColor="text1"/>
          <w:szCs w:val="32"/>
          <w14:textFill>
            <w14:solidFill>
              <w14:schemeClr w14:val="tx1"/>
            </w14:solidFill>
          </w14:textFill>
        </w:rPr>
        <w:t xml:space="preserve">1. </w:t>
      </w:r>
      <w:r>
        <w:rPr>
          <w:rFonts w:hint="eastAsia" w:ascii="Times New Roman" w:hAnsi="Times New Roman" w:eastAsia="方正仿宋_GBK" w:cs="Times New Roman"/>
          <w:color w:val="000000" w:themeColor="text1"/>
          <w:szCs w:val="32"/>
          <w14:textFill>
            <w14:solidFill>
              <w14:schemeClr w14:val="tx1"/>
            </w14:solidFill>
          </w14:textFill>
        </w:rPr>
        <w:t>负责政务大厅1楼、2楼、</w:t>
      </w:r>
      <w:r>
        <w:rPr>
          <w:rFonts w:ascii="Times New Roman" w:hAnsi="Times New Roman" w:eastAsia="方正仿宋_GBK" w:cs="Times New Roman"/>
          <w:color w:val="000000" w:themeColor="text1"/>
          <w:szCs w:val="32"/>
          <w14:textFill>
            <w14:solidFill>
              <w14:schemeClr w14:val="tx1"/>
            </w14:solidFill>
          </w14:textFill>
        </w:rPr>
        <w:t>3</w:t>
      </w:r>
      <w:r>
        <w:rPr>
          <w:rFonts w:hint="eastAsia" w:ascii="Times New Roman" w:hAnsi="Times New Roman" w:eastAsia="方正仿宋_GBK" w:cs="Times New Roman"/>
          <w:color w:val="000000" w:themeColor="text1"/>
          <w:szCs w:val="32"/>
          <w14:textFill>
            <w14:solidFill>
              <w14:schemeClr w14:val="tx1"/>
            </w14:solidFill>
          </w14:textFill>
        </w:rPr>
        <w:t>楼北区各弱电机房的日常巡检、设备及人员出入管理。</w:t>
      </w:r>
    </w:p>
    <w:p>
      <w:pPr>
        <w:pStyle w:val="12"/>
        <w:spacing w:after="0" w:line="580" w:lineRule="exact"/>
        <w:ind w:left="0" w:leftChars="0" w:firstLine="640"/>
        <w:rPr>
          <w:rFonts w:hint="eastAsia" w:ascii="Times New Roman" w:hAnsi="Times New Roman" w:eastAsia="方正仿宋_GBK" w:cs="Times New Roman"/>
          <w:color w:val="000000" w:themeColor="text1"/>
          <w:szCs w:val="32"/>
          <w:lang w:eastAsia="zh-CN"/>
          <w14:textFill>
            <w14:solidFill>
              <w14:schemeClr w14:val="tx1"/>
            </w14:solidFill>
          </w14:textFill>
        </w:rPr>
      </w:pPr>
      <w:r>
        <w:rPr>
          <w:rFonts w:ascii="Times New Roman" w:hAnsi="Times New Roman" w:eastAsia="方正仿宋_GBK" w:cs="Times New Roman"/>
          <w:color w:val="000000" w:themeColor="text1"/>
          <w:szCs w:val="32"/>
          <w14:textFill>
            <w14:solidFill>
              <w14:schemeClr w14:val="tx1"/>
            </w14:solidFill>
          </w14:textFill>
        </w:rPr>
        <w:t xml:space="preserve">2. </w:t>
      </w:r>
      <w:r>
        <w:rPr>
          <w:rFonts w:hint="eastAsia" w:ascii="Times New Roman" w:hAnsi="Times New Roman" w:eastAsia="方正仿宋_GBK" w:cs="Times New Roman"/>
          <w:color w:val="000000" w:themeColor="text1"/>
          <w:szCs w:val="32"/>
          <w14:textFill>
            <w14:solidFill>
              <w14:schemeClr w14:val="tx1"/>
            </w14:solidFill>
          </w14:textFill>
        </w:rPr>
        <w:t>负责政务大厅1楼、2楼、3楼及4楼公积金业务区域对应弱电机房内为采购人信息化设备提供网络接入的网络设备以及局机关、政务大厅所使用的核心、汇聚、服务器区网络交换设备（涵盖政务外网、互联网、设备专网，共计92台套）的配置备份及故障排查</w:t>
      </w:r>
      <w:r>
        <w:rPr>
          <w:rFonts w:hint="eastAsia" w:ascii="Times New Roman" w:hAnsi="Times New Roman" w:eastAsia="方正仿宋_GBK" w:cs="Times New Roman"/>
          <w:color w:val="000000" w:themeColor="text1"/>
          <w:szCs w:val="32"/>
          <w:lang w:eastAsia="zh-CN"/>
          <w14:textFill>
            <w14:solidFill>
              <w14:schemeClr w14:val="tx1"/>
            </w14:solidFill>
          </w14:textFill>
        </w:rPr>
        <w:t>。</w:t>
      </w:r>
    </w:p>
    <w:p>
      <w:pPr>
        <w:pStyle w:val="12"/>
        <w:spacing w:after="0" w:line="580" w:lineRule="exact"/>
        <w:ind w:left="0" w:leftChars="0" w:firstLine="640"/>
        <w:rPr>
          <w:rFonts w:hint="eastAsia" w:ascii="Times New Roman" w:hAnsi="Times New Roman" w:eastAsia="方正仿宋_GBK" w:cs="Times New Roman"/>
          <w:color w:val="000000" w:themeColor="text1"/>
          <w:szCs w:val="32"/>
          <w14:textFill>
            <w14:solidFill>
              <w14:schemeClr w14:val="tx1"/>
            </w14:solidFill>
          </w14:textFill>
        </w:rPr>
      </w:pPr>
      <w:r>
        <w:rPr>
          <w:rFonts w:ascii="Times New Roman" w:hAnsi="Times New Roman" w:eastAsia="方正仿宋_GBK" w:cs="Times New Roman"/>
          <w:color w:val="000000" w:themeColor="text1"/>
          <w:szCs w:val="32"/>
          <w14:textFill>
            <w14:solidFill>
              <w14:schemeClr w14:val="tx1"/>
            </w14:solidFill>
          </w14:textFill>
        </w:rPr>
        <w:t xml:space="preserve">3. </w:t>
      </w:r>
      <w:r>
        <w:rPr>
          <w:rFonts w:hint="eastAsia" w:ascii="Times New Roman" w:hAnsi="Times New Roman" w:eastAsia="方正仿宋_GBK" w:cs="Times New Roman"/>
          <w:color w:val="000000" w:themeColor="text1"/>
          <w:szCs w:val="32"/>
          <w14:textFill>
            <w14:solidFill>
              <w14:schemeClr w14:val="tx1"/>
            </w14:solidFill>
          </w14:textFill>
        </w:rPr>
        <w:t>负责局机关及政务大厅3</w:t>
      </w:r>
      <w:r>
        <w:rPr>
          <w:rFonts w:ascii="Times New Roman" w:hAnsi="Times New Roman" w:eastAsia="方正仿宋_GBK" w:cs="Times New Roman"/>
          <w:color w:val="000000" w:themeColor="text1"/>
          <w:szCs w:val="32"/>
          <w14:textFill>
            <w14:solidFill>
              <w14:schemeClr w14:val="tx1"/>
            </w14:solidFill>
          </w14:textFill>
        </w:rPr>
        <w:t>1</w:t>
      </w:r>
      <w:r>
        <w:rPr>
          <w:rFonts w:hint="eastAsia" w:ascii="Times New Roman" w:hAnsi="Times New Roman" w:eastAsia="方正仿宋_GBK" w:cs="Times New Roman"/>
          <w:color w:val="000000" w:themeColor="text1"/>
          <w:szCs w:val="32"/>
          <w14:textFill>
            <w14:solidFill>
              <w14:schemeClr w14:val="tx1"/>
            </w14:solidFill>
          </w14:textFill>
        </w:rPr>
        <w:t>套门禁系统人员权限维护管理工作。</w:t>
      </w:r>
    </w:p>
    <w:p>
      <w:pPr>
        <w:pStyle w:val="12"/>
        <w:spacing w:after="0" w:line="580" w:lineRule="exact"/>
        <w:ind w:left="0" w:leftChars="0" w:firstLine="640"/>
        <w:rPr>
          <w:rFonts w:hint="eastAsia" w:ascii="方正楷体_GBK" w:hAnsi="方正楷体_GBK" w:eastAsia="方正楷体_GBK" w:cs="方正楷体_GBK"/>
          <w:color w:val="000000" w:themeColor="text1"/>
          <w:szCs w:val="32"/>
          <w14:textFill>
            <w14:solidFill>
              <w14:schemeClr w14:val="tx1"/>
            </w14:solidFill>
          </w14:textFill>
        </w:rPr>
      </w:pPr>
      <w:r>
        <w:rPr>
          <w:rFonts w:hint="eastAsia" w:ascii="方正楷体_GBK" w:hAnsi="方正楷体_GBK" w:eastAsia="方正楷体_GBK" w:cs="方正楷体_GBK"/>
          <w:color w:val="000000" w:themeColor="text1"/>
          <w:szCs w:val="32"/>
          <w14:textFill>
            <w14:solidFill>
              <w14:schemeClr w14:val="tx1"/>
            </w14:solidFill>
          </w14:textFill>
        </w:rPr>
        <w:t>（三）局服务器云平台及网络安全系统</w:t>
      </w:r>
    </w:p>
    <w:p>
      <w:pPr>
        <w:pStyle w:val="12"/>
        <w:spacing w:after="0" w:line="580" w:lineRule="exact"/>
        <w:ind w:left="0" w:leftChars="0" w:firstLine="640"/>
        <w:rPr>
          <w:rFonts w:hint="eastAsia" w:ascii="Times New Roman" w:hAnsi="Times New Roman" w:eastAsia="方正仿宋_GBK" w:cs="Times New Roman"/>
          <w:color w:val="000000" w:themeColor="text1"/>
          <w:szCs w:val="32"/>
          <w:lang w:eastAsia="zh-CN"/>
          <w14:textFill>
            <w14:solidFill>
              <w14:schemeClr w14:val="tx1"/>
            </w14:solidFill>
          </w14:textFill>
        </w:rPr>
      </w:pPr>
      <w:r>
        <w:rPr>
          <w:rFonts w:hint="eastAsia" w:ascii="Times New Roman" w:hAnsi="Times New Roman" w:eastAsia="方正仿宋_GBK" w:cs="Times New Roman"/>
          <w:color w:val="000000" w:themeColor="text1"/>
          <w:szCs w:val="32"/>
          <w14:textFill>
            <w14:solidFill>
              <w14:schemeClr w14:val="tx1"/>
            </w14:solidFill>
          </w14:textFill>
        </w:rPr>
        <w:t>1</w:t>
      </w:r>
      <w:r>
        <w:rPr>
          <w:rFonts w:ascii="Times New Roman" w:hAnsi="Times New Roman" w:eastAsia="方正仿宋_GBK" w:cs="Times New Roman"/>
          <w:color w:val="000000" w:themeColor="text1"/>
          <w:szCs w:val="32"/>
          <w14:textFill>
            <w14:solidFill>
              <w14:schemeClr w14:val="tx1"/>
            </w14:solidFill>
          </w14:textFill>
        </w:rPr>
        <w:t xml:space="preserve">. </w:t>
      </w:r>
      <w:r>
        <w:rPr>
          <w:rFonts w:hint="eastAsia" w:ascii="Times New Roman" w:hAnsi="Times New Roman" w:eastAsia="方正仿宋_GBK" w:cs="Times New Roman"/>
          <w:color w:val="000000" w:themeColor="text1"/>
          <w:szCs w:val="32"/>
          <w14:textFill>
            <w14:solidFill>
              <w14:schemeClr w14:val="tx1"/>
            </w14:solidFill>
          </w14:textFill>
        </w:rPr>
        <w:t>负责局机关自建服务器云平台软件及各运算资源、存储资源的维护、配置调整与优化及故障排除</w:t>
      </w:r>
      <w:r>
        <w:rPr>
          <w:rFonts w:hint="eastAsia" w:ascii="Times New Roman" w:hAnsi="Times New Roman" w:eastAsia="方正仿宋_GBK" w:cs="Times New Roman"/>
          <w:color w:val="000000" w:themeColor="text1"/>
          <w:szCs w:val="32"/>
          <w:lang w:eastAsia="zh-CN"/>
          <w14:textFill>
            <w14:solidFill>
              <w14:schemeClr w14:val="tx1"/>
            </w14:solidFill>
          </w14:textFill>
        </w:rPr>
        <w:t>。</w:t>
      </w:r>
    </w:p>
    <w:p>
      <w:pPr>
        <w:pStyle w:val="12"/>
        <w:spacing w:after="0" w:line="580" w:lineRule="exact"/>
        <w:ind w:left="0" w:leftChars="0" w:firstLine="640"/>
        <w:rPr>
          <w:rFonts w:ascii="Times New Roman" w:hAnsi="Times New Roman" w:eastAsia="方正仿宋_GBK" w:cs="Times New Roman"/>
          <w:color w:val="000000" w:themeColor="text1"/>
          <w:szCs w:val="32"/>
          <w14:textFill>
            <w14:solidFill>
              <w14:schemeClr w14:val="tx1"/>
            </w14:solidFill>
          </w14:textFill>
        </w:rPr>
      </w:pPr>
      <w:r>
        <w:rPr>
          <w:rFonts w:ascii="Times New Roman" w:hAnsi="Times New Roman" w:eastAsia="方正仿宋_GBK" w:cs="Times New Roman"/>
          <w:color w:val="000000" w:themeColor="text1"/>
          <w:szCs w:val="32"/>
          <w14:textFill>
            <w14:solidFill>
              <w14:schemeClr w14:val="tx1"/>
            </w14:solidFill>
          </w14:textFill>
        </w:rPr>
        <w:t xml:space="preserve">2. </w:t>
      </w:r>
      <w:r>
        <w:rPr>
          <w:rFonts w:hint="eastAsia" w:ascii="Times New Roman" w:hAnsi="Times New Roman" w:eastAsia="方正仿宋_GBK" w:cs="Times New Roman"/>
          <w:color w:val="000000" w:themeColor="text1"/>
          <w:szCs w:val="32"/>
          <w14:textFill>
            <w14:solidFill>
              <w14:schemeClr w14:val="tx1"/>
            </w14:solidFill>
          </w14:textFill>
        </w:rPr>
        <w:t>负责局机关及政务大厅所使用防火墙、上网行为管理、网络态势感知等网络安全设备及电子政务外网云平台安全资源池的运行维护，自有安全设备特征库升级及策略配置调整。</w:t>
      </w:r>
    </w:p>
    <w:p>
      <w:pPr>
        <w:pStyle w:val="23"/>
        <w:keepNext w:val="0"/>
        <w:keepLines w:val="0"/>
        <w:pageBreakBefore w:val="0"/>
        <w:widowControl w:val="0"/>
        <w:numPr>
          <w:ilvl w:val="0"/>
          <w:numId w:val="2"/>
        </w:numPr>
        <w:tabs>
          <w:tab w:val="left" w:pos="5325"/>
        </w:tabs>
        <w:kinsoku/>
        <w:wordWrap/>
        <w:overflowPunct/>
        <w:topLinePunct w:val="0"/>
        <w:autoSpaceDE/>
        <w:autoSpaceDN/>
        <w:bidi w:val="0"/>
        <w:adjustRightInd/>
        <w:snapToGrid w:val="0"/>
        <w:spacing w:before="156" w:beforeLines="50" w:after="156" w:afterLines="50" w:line="580" w:lineRule="exact"/>
        <w:ind w:left="0" w:leftChars="0"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运维</w:t>
      </w:r>
      <w:r>
        <w:rPr>
          <w:rFonts w:ascii="黑体" w:hAnsi="黑体" w:eastAsia="黑体" w:cs="Times New Roman"/>
          <w:sz w:val="32"/>
          <w:szCs w:val="32"/>
        </w:rPr>
        <w:t>要求</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运维服务时间为工作日每天8:30-17:45，运维人员需在8:45之前根据运维内容做好现场巡检，发现问题马上现场处置并报告采购人，在工作时间内不定期在大厅进行巡检，确保采购方重要信息系统全年7*24小时安全、稳定、高效运行。在接到采购人或大厅进驻部门报修后，工作时间10分钟、非工作时间30分钟内到达现场查找故障原因，无需更换配件的一般性故障1小时内排除，复杂性故障2小时内提出建议方案，需配件维修的3个自然日内修复（不包括配件采购时间）。</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运维单位需要安排3名专业技术人员提供日常驻场运维服务。</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cs="Times New Roman"/>
          <w:sz w:val="32"/>
          <w:szCs w:val="32"/>
        </w:rPr>
      </w:pP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运维单位需遵守南通市数据局各项规章制度，做好日常网络、信息安全管理和保密工作，做好临时交办的其他运维保障任务。</w:t>
      </w:r>
    </w:p>
    <w:bookmarkEnd w:id="0"/>
    <w:p>
      <w:pPr>
        <w:pStyle w:val="23"/>
        <w:keepNext w:val="0"/>
        <w:keepLines w:val="0"/>
        <w:pageBreakBefore w:val="0"/>
        <w:widowControl w:val="0"/>
        <w:tabs>
          <w:tab w:val="left" w:pos="5325"/>
        </w:tabs>
        <w:kinsoku/>
        <w:wordWrap/>
        <w:overflowPunct/>
        <w:topLinePunct w:val="0"/>
        <w:bidi w:val="0"/>
        <w:snapToGrid w:val="0"/>
        <w:spacing w:line="580" w:lineRule="exact"/>
        <w:ind w:left="0" w:leftChars="0"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w:t>
      </w:r>
      <w:r>
        <w:rPr>
          <w:rFonts w:ascii="黑体" w:hAnsi="黑体" w:eastAsia="黑体" w:cs="Times New Roman"/>
          <w:sz w:val="32"/>
          <w:szCs w:val="32"/>
        </w:rPr>
        <w:t>合同签订</w:t>
      </w:r>
    </w:p>
    <w:p>
      <w:pPr>
        <w:keepNext w:val="0"/>
        <w:keepLines w:val="0"/>
        <w:pageBreakBefore w:val="0"/>
        <w:kinsoku/>
        <w:overflowPunct/>
        <w:topLinePunct w:val="0"/>
        <w:bidi w:val="0"/>
        <w:spacing w:line="58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采购结果公示结束后无异议的在1</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zh-CN"/>
        </w:rPr>
        <w:t>个工作日内签订合同</w:t>
      </w:r>
      <w:r>
        <w:rPr>
          <w:rFonts w:hint="eastAsia" w:ascii="Times New Roman" w:hAnsi="Times New Roman" w:eastAsia="方正仿宋_GBK" w:cs="Times New Roman"/>
          <w:sz w:val="32"/>
          <w:szCs w:val="32"/>
          <w:lang w:val="zh-CN"/>
        </w:rPr>
        <w:t>，</w:t>
      </w:r>
      <w:r>
        <w:rPr>
          <w:rFonts w:hint="eastAsia" w:ascii="Times New Roman" w:hAnsi="Times New Roman" w:eastAsia="方正仿宋_GBK" w:cs="Times New Roman"/>
          <w:b w:val="0"/>
          <w:bCs w:val="0"/>
          <w:color w:val="auto"/>
          <w:sz w:val="32"/>
          <w:szCs w:val="32"/>
          <w:highlight w:val="none"/>
          <w:lang w:val="zh-CN" w:eastAsia="zh-CN"/>
        </w:rPr>
        <w:t>后续可通过一年一续签方式签订两次合同。</w:t>
      </w:r>
    </w:p>
    <w:p>
      <w:pPr>
        <w:pStyle w:val="23"/>
        <w:keepNext w:val="0"/>
        <w:keepLines w:val="0"/>
        <w:pageBreakBefore w:val="0"/>
        <w:widowControl w:val="0"/>
        <w:tabs>
          <w:tab w:val="left" w:pos="5325"/>
        </w:tabs>
        <w:kinsoku/>
        <w:wordWrap/>
        <w:overflowPunct/>
        <w:topLinePunct w:val="0"/>
        <w:bidi w:val="0"/>
        <w:snapToGrid w:val="0"/>
        <w:spacing w:line="580" w:lineRule="exact"/>
        <w:ind w:left="0" w:leftChars="0" w:firstLine="0" w:firstLineChars="0"/>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w:t>
      </w:r>
      <w:r>
        <w:rPr>
          <w:rFonts w:ascii="黑体" w:hAnsi="黑体" w:eastAsia="黑体" w:cs="Times New Roman"/>
          <w:sz w:val="32"/>
          <w:szCs w:val="32"/>
        </w:rPr>
        <w:t>付款</w:t>
      </w:r>
      <w:r>
        <w:rPr>
          <w:rFonts w:hint="eastAsia" w:ascii="黑体" w:hAnsi="黑体" w:eastAsia="黑体" w:cs="Times New Roman"/>
          <w:sz w:val="32"/>
          <w:szCs w:val="32"/>
        </w:rPr>
        <w:t>方式</w:t>
      </w:r>
    </w:p>
    <w:p>
      <w:pPr>
        <w:keepNext w:val="0"/>
        <w:keepLines w:val="0"/>
        <w:pageBreakBefore w:val="0"/>
        <w:widowControl w:val="0"/>
        <w:tabs>
          <w:tab w:val="left" w:pos="5325"/>
        </w:tabs>
        <w:kinsoku/>
        <w:wordWrap/>
        <w:overflowPunct/>
        <w:topLinePunct w:val="0"/>
        <w:bidi w:val="0"/>
        <w:snapToGrid w:val="0"/>
        <w:spacing w:line="580" w:lineRule="exact"/>
        <w:ind w:firstLine="640" w:firstLineChars="200"/>
        <w:contextualSpacing/>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default" w:ascii="Times New Roman" w:hAnsi="Times New Roman" w:eastAsia="方正仿宋_GBK" w:cs="Times New Roman"/>
          <w:kern w:val="2"/>
          <w:sz w:val="32"/>
          <w:szCs w:val="32"/>
          <w:lang w:val="en-US" w:eastAsia="zh-CN" w:bidi="ar-SA"/>
        </w:rPr>
        <w:t>按照中标价签订合同，发票</w:t>
      </w:r>
      <w:r>
        <w:rPr>
          <w:rFonts w:hint="default" w:ascii="Times New Roman" w:hAnsi="Times New Roman" w:eastAsia="方正仿宋_GBK" w:cs="Times New Roman"/>
          <w:color w:val="000000" w:themeColor="text1"/>
          <w:sz w:val="32"/>
          <w:szCs w:val="32"/>
          <w14:textFill>
            <w14:solidFill>
              <w14:schemeClr w14:val="tx1"/>
            </w14:solidFill>
          </w14:textFill>
        </w:rPr>
        <w:t>送达后15个工作日内支付合同价款的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运维服务满半年信息处评估通过后支付合同</w:t>
      </w:r>
      <w:r>
        <w:rPr>
          <w:rFonts w:hint="default" w:ascii="Times New Roman" w:hAnsi="Times New Roman" w:eastAsia="方正仿宋_GBK" w:cs="Times New Roman"/>
          <w:color w:val="000000" w:themeColor="text1"/>
          <w:sz w:val="32"/>
          <w:szCs w:val="32"/>
          <w14:textFill>
            <w14:solidFill>
              <w14:schemeClr w14:val="tx1"/>
            </w14:solidFill>
          </w14:textFill>
        </w:rPr>
        <w:t>价款</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的45%</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余款5%于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运维服务期满通过绩效评价后支付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tabs>
          <w:tab w:val="left" w:pos="5325"/>
        </w:tabs>
        <w:kinsoku/>
        <w:wordWrap/>
        <w:overflowPunct/>
        <w:topLinePunct w:val="0"/>
        <w:bidi w:val="0"/>
        <w:snapToGrid w:val="0"/>
        <w:spacing w:line="580" w:lineRule="exact"/>
        <w:contextualSpacing/>
        <w:textAlignment w:val="auto"/>
        <w:rPr>
          <w:rFonts w:ascii="黑体" w:hAnsi="黑体" w:eastAsia="黑体" w:cs="Times New Roman"/>
          <w:sz w:val="32"/>
          <w:szCs w:val="32"/>
        </w:rPr>
      </w:pPr>
      <w:r>
        <w:rPr>
          <w:rFonts w:hint="eastAsia" w:ascii="黑体" w:hAnsi="黑体" w:eastAsia="黑体" w:cs="Times New Roman"/>
          <w:sz w:val="32"/>
          <w:szCs w:val="32"/>
          <w:lang w:val="en-US" w:eastAsia="zh-CN"/>
        </w:rPr>
        <w:t>六</w:t>
      </w:r>
      <w:r>
        <w:rPr>
          <w:rFonts w:hint="eastAsia" w:ascii="黑体" w:hAnsi="黑体" w:eastAsia="黑体" w:cs="Times New Roman"/>
          <w:sz w:val="32"/>
          <w:szCs w:val="32"/>
        </w:rPr>
        <w:t>、</w:t>
      </w:r>
      <w:r>
        <w:rPr>
          <w:rFonts w:ascii="黑体" w:hAnsi="黑体" w:eastAsia="黑体" w:cs="Times New Roman"/>
          <w:sz w:val="32"/>
          <w:szCs w:val="32"/>
        </w:rPr>
        <w:t>投标供应商资格要求</w:t>
      </w:r>
    </w:p>
    <w:p>
      <w:pPr>
        <w:pStyle w:val="23"/>
        <w:keepNext w:val="0"/>
        <w:keepLines w:val="0"/>
        <w:pageBreakBefore w:val="0"/>
        <w:widowControl w:val="0"/>
        <w:kinsoku/>
        <w:wordWrap/>
        <w:overflowPunct/>
        <w:topLinePunct w:val="0"/>
        <w:autoSpaceDE w:val="0"/>
        <w:autoSpaceDN w:val="0"/>
        <w:bidi w:val="0"/>
        <w:adjustRightInd w:val="0"/>
        <w:snapToGrid w:val="0"/>
        <w:spacing w:line="580" w:lineRule="exact"/>
        <w:ind w:firstLine="64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符合《中华人民共和国政府采购法》第22条规定；</w:t>
      </w:r>
    </w:p>
    <w:p>
      <w:pPr>
        <w:pStyle w:val="23"/>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64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rPr>
        <w:t>具有合法经营资格并能承担完全民事责任的独立法人。</w:t>
      </w:r>
    </w:p>
    <w:p>
      <w:pPr>
        <w:pStyle w:val="23"/>
        <w:keepNext w:val="0"/>
        <w:keepLines w:val="0"/>
        <w:pageBreakBefore w:val="0"/>
        <w:widowControl w:val="0"/>
        <w:kinsoku/>
        <w:wordWrap/>
        <w:overflowPunct/>
        <w:topLinePunct w:val="0"/>
        <w:autoSpaceDE w:val="0"/>
        <w:autoSpaceDN w:val="0"/>
        <w:bidi w:val="0"/>
        <w:adjustRightInd w:val="0"/>
        <w:snapToGrid w:val="0"/>
        <w:spacing w:line="580" w:lineRule="exact"/>
        <w:ind w:firstLine="640"/>
        <w:contextualSpacing/>
        <w:jc w:val="left"/>
        <w:textAlignment w:val="auto"/>
        <w:rPr>
          <w:rFonts w:hint="eastAsia"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 xml:space="preserve">3. </w:t>
      </w:r>
      <w:r>
        <w:rPr>
          <w:rFonts w:hint="eastAsia" w:ascii="Times New Roman" w:hAnsi="Times New Roman" w:eastAsia="方正仿宋_GBK" w:cs="Times New Roman"/>
          <w:sz w:val="32"/>
          <w:szCs w:val="32"/>
          <w:lang w:val="zh-CN"/>
        </w:rPr>
        <w:t>未被“信用中国”网站列入失信被执行人、重大税收违法案件当事人名单、政府采购严重失信行为记录名单。</w:t>
      </w:r>
    </w:p>
    <w:p>
      <w:pPr>
        <w:keepNext w:val="0"/>
        <w:keepLines w:val="0"/>
        <w:pageBreakBefore w:val="0"/>
        <w:widowControl w:val="0"/>
        <w:kinsoku/>
        <w:wordWrap/>
        <w:overflowPunct/>
        <w:topLinePunct w:val="0"/>
        <w:bidi w:val="0"/>
        <w:spacing w:line="580" w:lineRule="exact"/>
        <w:ind w:left="0" w:firstLine="640" w:firstLineChars="200"/>
        <w:textAlignment w:val="auto"/>
        <w:rPr>
          <w:rFonts w:hint="eastAsia" w:ascii="Times New Roman" w:hAnsi="Times New Roman" w:eastAsia="方正仿宋_GBK" w:cs="Times New Roman"/>
          <w:b w:val="0"/>
          <w:bCs w:val="0"/>
          <w:color w:val="auto"/>
          <w:sz w:val="32"/>
          <w:szCs w:val="32"/>
          <w:highlight w:val="none"/>
          <w:lang w:val="zh-CN" w:eastAsia="zh-CN"/>
        </w:rPr>
      </w:pPr>
      <w:r>
        <w:rPr>
          <w:rFonts w:hint="eastAsia" w:ascii="Times New Roman" w:hAnsi="Times New Roman" w:eastAsia="方正仿宋_GBK" w:cs="Times New Roman"/>
          <w:sz w:val="32"/>
          <w:szCs w:val="32"/>
          <w:lang w:val="en-US" w:eastAsia="zh-CN"/>
        </w:rPr>
        <w:t xml:space="preserve">4. </w:t>
      </w:r>
      <w:r>
        <w:rPr>
          <w:rFonts w:hint="eastAsia" w:ascii="Times New Roman" w:hAnsi="Times New Roman" w:eastAsia="方正仿宋_GBK" w:cs="Times New Roman"/>
          <w:b w:val="0"/>
          <w:bCs w:val="0"/>
          <w:color w:val="auto"/>
          <w:sz w:val="32"/>
          <w:szCs w:val="32"/>
          <w:highlight w:val="none"/>
          <w:lang w:val="zh-CN" w:eastAsia="zh-CN"/>
        </w:rPr>
        <w:t>本项目不接受联合体参与，不得转包。</w:t>
      </w:r>
    </w:p>
    <w:p>
      <w:pPr>
        <w:pStyle w:val="23"/>
        <w:keepNext w:val="0"/>
        <w:keepLines w:val="0"/>
        <w:pageBreakBefore w:val="0"/>
        <w:widowControl w:val="0"/>
        <w:tabs>
          <w:tab w:val="left" w:pos="5325"/>
        </w:tabs>
        <w:kinsoku/>
        <w:wordWrap/>
        <w:overflowPunct/>
        <w:topLinePunct w:val="0"/>
        <w:bidi w:val="0"/>
        <w:snapToGrid w:val="0"/>
        <w:spacing w:line="580" w:lineRule="exact"/>
        <w:ind w:left="0" w:leftChars="0" w:firstLine="0" w:firstLineChars="0"/>
        <w:contextualSpacing/>
        <w:textAlignment w:val="auto"/>
        <w:rPr>
          <w:rFonts w:ascii="Times New Roman" w:hAnsi="Times New Roman" w:eastAsia="方正仿宋_GBK" w:cs="Times New Roman"/>
          <w:sz w:val="32"/>
          <w:szCs w:val="32"/>
        </w:rPr>
      </w:pPr>
      <w:r>
        <w:rPr>
          <w:rFonts w:hint="eastAsia" w:ascii="黑体" w:hAnsi="黑体" w:eastAsia="黑体" w:cs="Times New Roman"/>
          <w:sz w:val="32"/>
          <w:szCs w:val="32"/>
          <w:lang w:val="en-US" w:eastAsia="zh-CN"/>
        </w:rPr>
        <w:t>七</w:t>
      </w:r>
      <w:r>
        <w:rPr>
          <w:rFonts w:hint="eastAsia" w:ascii="黑体" w:hAnsi="黑体" w:eastAsia="黑体" w:cs="Times New Roman"/>
          <w:sz w:val="32"/>
          <w:szCs w:val="32"/>
        </w:rPr>
        <w:t>、</w:t>
      </w:r>
      <w:r>
        <w:rPr>
          <w:rFonts w:hint="eastAsia" w:ascii="黑体" w:hAnsi="黑体" w:eastAsia="黑体" w:cs="Times New Roman"/>
          <w:kern w:val="2"/>
          <w:sz w:val="32"/>
          <w:szCs w:val="32"/>
          <w:lang w:val="en-US" w:eastAsia="zh-CN" w:bidi="ar-SA"/>
        </w:rPr>
        <w:t>投标文件的组成</w:t>
      </w:r>
    </w:p>
    <w:p>
      <w:pPr>
        <w:keepNext w:val="0"/>
        <w:keepLines w:val="0"/>
        <w:pageBreakBefore w:val="0"/>
        <w:widowControl w:val="0"/>
        <w:kinsoku/>
        <w:wordWrap/>
        <w:overflowPunct/>
        <w:topLinePunct w:val="0"/>
        <w:bidi w:val="0"/>
        <w:snapToGrid w:val="0"/>
        <w:spacing w:line="580" w:lineRule="exact"/>
        <w:ind w:firstLine="643"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投标</w:t>
      </w:r>
      <w:r>
        <w:rPr>
          <w:rFonts w:hint="eastAsia" w:ascii="方正仿宋_GBK" w:hAnsi="方正仿宋_GBK" w:eastAsia="方正仿宋_GBK" w:cs="方正仿宋_GBK"/>
          <w:b/>
          <w:sz w:val="32"/>
          <w:szCs w:val="32"/>
        </w:rPr>
        <w:t>文件由商务技术响应文件、价格响应文件</w:t>
      </w:r>
      <w:r>
        <w:rPr>
          <w:rFonts w:hint="eastAsia" w:ascii="方正仿宋_GBK" w:hAnsi="方正仿宋_GBK" w:eastAsia="方正仿宋_GBK" w:cs="方正仿宋_GBK"/>
          <w:b/>
          <w:sz w:val="32"/>
          <w:szCs w:val="32"/>
          <w:lang w:val="en-US" w:eastAsia="zh-CN"/>
        </w:rPr>
        <w:t>两</w:t>
      </w:r>
      <w:r>
        <w:rPr>
          <w:rFonts w:hint="eastAsia" w:ascii="方正仿宋_GBK" w:hAnsi="方正仿宋_GBK" w:eastAsia="方正仿宋_GBK" w:cs="方正仿宋_GBK"/>
          <w:b/>
          <w:sz w:val="32"/>
          <w:szCs w:val="32"/>
        </w:rPr>
        <w:t>部分组成。</w:t>
      </w:r>
    </w:p>
    <w:p>
      <w:pPr>
        <w:keepNext w:val="0"/>
        <w:keepLines w:val="0"/>
        <w:pageBreakBefore w:val="0"/>
        <w:widowControl w:val="0"/>
        <w:kinsoku/>
        <w:wordWrap/>
        <w:overflowPunct/>
        <w:topLinePunct w:val="0"/>
        <w:bidi w:val="0"/>
        <w:snapToGrid w:val="0"/>
        <w:spacing w:line="580" w:lineRule="exact"/>
        <w:ind w:firstLine="643" w:firstLineChars="200"/>
        <w:contextualSpacing/>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lang w:val="en-US" w:eastAsia="zh-CN"/>
        </w:rPr>
        <w:t>(一)</w:t>
      </w:r>
      <w:r>
        <w:rPr>
          <w:rFonts w:hint="eastAsia" w:ascii="方正仿宋_GBK" w:hAnsi="方正仿宋_GBK" w:eastAsia="方正仿宋_GBK" w:cs="方正仿宋_GBK"/>
          <w:b/>
          <w:color w:val="000000" w:themeColor="text1"/>
          <w:sz w:val="32"/>
          <w:szCs w:val="32"/>
          <w14:textFill>
            <w14:solidFill>
              <w14:schemeClr w14:val="tx1"/>
            </w14:solidFill>
          </w14:textFill>
        </w:rPr>
        <w:t>商务技术</w:t>
      </w:r>
      <w:r>
        <w:rPr>
          <w:rFonts w:hint="eastAsia" w:ascii="方正仿宋_GBK" w:hAnsi="方正仿宋_GBK" w:eastAsia="方正仿宋_GBK" w:cs="方正仿宋_GBK"/>
          <w:b/>
          <w:sz w:val="32"/>
          <w:szCs w:val="32"/>
        </w:rPr>
        <w:t>响应文件（</w:t>
      </w:r>
      <w:r>
        <w:rPr>
          <w:rFonts w:hint="eastAsia" w:ascii="方正仿宋_GBK" w:hAnsi="方正仿宋_GBK" w:eastAsia="方正仿宋_GBK" w:cs="方正仿宋_GBK"/>
          <w:b/>
          <w:color w:val="000000" w:themeColor="text1"/>
          <w:sz w:val="32"/>
          <w:szCs w:val="32"/>
          <w14:textFill>
            <w14:solidFill>
              <w14:schemeClr w14:val="tx1"/>
            </w14:solidFill>
          </w14:textFill>
        </w:rPr>
        <w:t>不得出现报价</w:t>
      </w:r>
      <w:r>
        <w:rPr>
          <w:rFonts w:hint="eastAsia" w:ascii="方正仿宋_GBK" w:hAnsi="方正仿宋_GBK" w:eastAsia="方正仿宋_GBK" w:cs="方正仿宋_GBK"/>
          <w:b/>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b/>
          <w:sz w:val="32"/>
          <w:szCs w:val="32"/>
        </w:rPr>
        <w:t>一正</w:t>
      </w:r>
      <w:r>
        <w:rPr>
          <w:rFonts w:hint="eastAsia" w:ascii="方正仿宋_GBK" w:hAnsi="方正仿宋_GBK" w:eastAsia="方正仿宋_GBK" w:cs="方正仿宋_GBK"/>
          <w:b/>
          <w:sz w:val="32"/>
          <w:szCs w:val="32"/>
          <w:lang w:val="en-US" w:eastAsia="zh-CN"/>
        </w:rPr>
        <w:t>两</w:t>
      </w:r>
      <w:r>
        <w:rPr>
          <w:rFonts w:hint="eastAsia" w:ascii="方正仿宋_GBK" w:hAnsi="方正仿宋_GBK" w:eastAsia="方正仿宋_GBK" w:cs="方正仿宋_GBK"/>
          <w:b/>
          <w:sz w:val="32"/>
          <w:szCs w:val="32"/>
        </w:rPr>
        <w:t>副，单独密封装订）：</w:t>
      </w:r>
    </w:p>
    <w:p>
      <w:pPr>
        <w:pStyle w:val="24"/>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640"/>
        <w:textAlignment w:val="auto"/>
        <w:rPr>
          <w:rFonts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1.</w:t>
      </w: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zh-CN" w:eastAsia="zh-CN" w:bidi="ar-SA"/>
        </w:rPr>
        <w:t>法定代表人参加投标的，提供法定代表人身份证复印件（加盖公章）；授权委托人参加投标的，提供法定代表人授权委托书、法定代表人和授权委托人身份证复印件（加盖公章）；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contextualSpacing/>
        <w:jc w:val="left"/>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 xml:space="preserve">2. </w:t>
      </w:r>
      <w:r>
        <w:rPr>
          <w:rFonts w:hint="eastAsia" w:ascii="Times New Roman" w:hAnsi="Times New Roman" w:eastAsia="方正仿宋_GBK" w:cs="Times New Roman"/>
          <w:kern w:val="2"/>
          <w:sz w:val="32"/>
          <w:szCs w:val="32"/>
          <w:lang w:val="zh-CN" w:eastAsia="zh-CN" w:bidi="ar-SA"/>
        </w:rPr>
        <w:t>营业执照复印件（加盖公章）；</w:t>
      </w:r>
    </w:p>
    <w:p>
      <w:pPr>
        <w:pStyle w:val="23"/>
        <w:keepNext w:val="0"/>
        <w:keepLines w:val="0"/>
        <w:pageBreakBefore w:val="0"/>
        <w:widowControl w:val="0"/>
        <w:numPr>
          <w:ilvl w:val="0"/>
          <w:numId w:val="0"/>
        </w:numPr>
        <w:kinsoku/>
        <w:wordWrap/>
        <w:overflowPunct/>
        <w:topLinePunct w:val="0"/>
        <w:autoSpaceDE w:val="0"/>
        <w:autoSpaceDN w:val="0"/>
        <w:bidi w:val="0"/>
        <w:adjustRightInd w:val="0"/>
        <w:snapToGrid w:val="0"/>
        <w:spacing w:line="580" w:lineRule="exact"/>
        <w:ind w:firstLine="640" w:firstLineChars="200"/>
        <w:contextualSpacing/>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 信用中国企业信用信息报告</w:t>
      </w:r>
      <w:r>
        <w:rPr>
          <w:rFonts w:hint="eastAsia" w:ascii="Times New Roman" w:hAnsi="Times New Roman" w:eastAsia="方正仿宋_GBK" w:cs="Times New Roman"/>
          <w:kern w:val="2"/>
          <w:sz w:val="32"/>
          <w:szCs w:val="32"/>
          <w:lang w:val="zh-CN" w:eastAsia="zh-CN" w:bidi="ar-SA"/>
        </w:rPr>
        <w:t>（加盖公章）；</w:t>
      </w:r>
    </w:p>
    <w:p>
      <w:pPr>
        <w:pStyle w:val="24"/>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64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 xml:space="preserve">4. </w:t>
      </w:r>
      <w:r>
        <w:rPr>
          <w:rFonts w:hint="eastAsia" w:ascii="Times New Roman" w:hAnsi="Times New Roman" w:eastAsia="方正仿宋_GBK" w:cs="Times New Roman"/>
          <w:kern w:val="2"/>
          <w:sz w:val="32"/>
          <w:szCs w:val="32"/>
          <w:lang w:val="zh-CN" w:eastAsia="zh-CN" w:bidi="ar-SA"/>
        </w:rPr>
        <w:t>投标承诺函（</w:t>
      </w:r>
      <w:r>
        <w:rPr>
          <w:rFonts w:hint="eastAsia" w:ascii="Times New Roman" w:hAnsi="Times New Roman" w:eastAsia="方正仿宋_GBK" w:cs="Times New Roman"/>
          <w:kern w:val="2"/>
          <w:sz w:val="32"/>
          <w:szCs w:val="32"/>
          <w:lang w:val="en-US" w:eastAsia="zh-CN" w:bidi="ar-SA"/>
        </w:rPr>
        <w:t>见附件一</w:t>
      </w:r>
      <w:r>
        <w:rPr>
          <w:rFonts w:hint="eastAsia" w:ascii="Times New Roman" w:hAnsi="Times New Roman" w:eastAsia="方正仿宋_GBK" w:cs="Times New Roman"/>
          <w:kern w:val="2"/>
          <w:sz w:val="32"/>
          <w:szCs w:val="32"/>
          <w:lang w:val="zh-CN" w:eastAsia="zh-CN" w:bidi="ar-SA"/>
        </w:rPr>
        <w:t>）；</w:t>
      </w:r>
    </w:p>
    <w:p>
      <w:pPr>
        <w:pStyle w:val="24"/>
        <w:keepNext w:val="0"/>
        <w:keepLines w:val="0"/>
        <w:pageBreakBefore w:val="0"/>
        <w:widowControl w:val="0"/>
        <w:kinsoku/>
        <w:wordWrap/>
        <w:overflowPunct/>
        <w:topLinePunct w:val="0"/>
        <w:autoSpaceDE w:val="0"/>
        <w:autoSpaceDN w:val="0"/>
        <w:bidi w:val="0"/>
        <w:adjustRightInd w:val="0"/>
        <w:snapToGrid w:val="0"/>
        <w:spacing w:line="580" w:lineRule="exact"/>
        <w:ind w:right="-197" w:rightChars="-94" w:firstLine="64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5. 响应方案，</w:t>
      </w:r>
      <w:r>
        <w:rPr>
          <w:rFonts w:hint="eastAsia" w:ascii="Times New Roman" w:hAnsi="Times New Roman" w:eastAsia="方正仿宋_GBK" w:cs="Times New Roman"/>
          <w:kern w:val="2"/>
          <w:sz w:val="32"/>
          <w:szCs w:val="32"/>
          <w:lang w:val="zh-CN" w:eastAsia="zh-CN" w:bidi="ar-SA"/>
        </w:rPr>
        <w:t>为方便评委评审，请投标人按评标办法中所涉及的事项顺序进行编制，可以补充相关材料；</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 xml:space="preserve">6. </w:t>
      </w:r>
      <w:r>
        <w:rPr>
          <w:rFonts w:hint="eastAsia" w:ascii="Times New Roman" w:hAnsi="Times New Roman" w:eastAsia="方正仿宋_GBK" w:cs="Times New Roman"/>
          <w:kern w:val="2"/>
          <w:sz w:val="32"/>
          <w:szCs w:val="32"/>
          <w:lang w:val="zh-CN" w:eastAsia="zh-CN" w:bidi="ar-SA"/>
        </w:rPr>
        <w:t>评标办法中未涉及的事项，投标人认为需要提交的其他资料。</w:t>
      </w:r>
    </w:p>
    <w:p>
      <w:pPr>
        <w:pStyle w:val="12"/>
        <w:keepNext w:val="0"/>
        <w:keepLines w:val="0"/>
        <w:pageBreakBefore w:val="0"/>
        <w:widowControl w:val="0"/>
        <w:kinsoku/>
        <w:wordWrap/>
        <w:overflowPunct/>
        <w:topLinePunct w:val="0"/>
        <w:bidi w:val="0"/>
        <w:spacing w:after="0" w:line="580" w:lineRule="exact"/>
        <w:ind w:left="0" w:leftChars="0" w:firstLine="321" w:firstLineChars="100"/>
        <w:textAlignment w:val="auto"/>
        <w:rPr>
          <w:rFonts w:hint="eastAsia" w:eastAsia="仿宋"/>
          <w:sz w:val="32"/>
          <w:szCs w:val="32"/>
          <w:lang w:eastAsia="zh-CN"/>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lang w:eastAsia="zh-CN"/>
        </w:rPr>
        <w:t>）</w:t>
      </w:r>
      <w:r>
        <w:rPr>
          <w:rFonts w:hint="eastAsia" w:ascii="仿宋" w:hAnsi="仿宋" w:eastAsia="仿宋" w:cs="仿宋"/>
          <w:b/>
          <w:sz w:val="32"/>
          <w:szCs w:val="32"/>
        </w:rPr>
        <w:t>价格响应文件</w:t>
      </w: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单本</w:t>
      </w:r>
      <w:r>
        <w:rPr>
          <w:rFonts w:hint="eastAsia" w:ascii="仿宋" w:hAnsi="仿宋" w:eastAsia="仿宋" w:cs="仿宋"/>
          <w:b/>
          <w:sz w:val="32"/>
          <w:szCs w:val="32"/>
        </w:rPr>
        <w:t>单独密封装订</w:t>
      </w:r>
      <w:r>
        <w:rPr>
          <w:rFonts w:hint="eastAsia" w:ascii="仿宋" w:hAnsi="仿宋" w:eastAsia="仿宋" w:cs="仿宋"/>
          <w:b/>
          <w:sz w:val="32"/>
          <w:szCs w:val="32"/>
          <w:lang w:eastAsia="zh-CN"/>
        </w:rPr>
        <w:t>）</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 分项</w:t>
      </w:r>
      <w:r>
        <w:rPr>
          <w:rFonts w:hint="eastAsia" w:ascii="Times New Roman" w:hAnsi="Times New Roman" w:eastAsia="方正仿宋_GBK" w:cs="Times New Roman"/>
          <w:kern w:val="2"/>
          <w:sz w:val="32"/>
          <w:szCs w:val="32"/>
          <w:lang w:val="zh-CN" w:eastAsia="zh-CN" w:bidi="ar-SA"/>
        </w:rPr>
        <w:t>明细报价</w:t>
      </w:r>
      <w:r>
        <w:rPr>
          <w:rFonts w:hint="eastAsia" w:ascii="Times New Roman" w:hAnsi="Times New Roman" w:eastAsia="方正仿宋_GBK" w:cs="Times New Roman"/>
          <w:kern w:val="2"/>
          <w:sz w:val="32"/>
          <w:szCs w:val="32"/>
          <w:lang w:val="en-US" w:eastAsia="zh-CN" w:bidi="ar-SA"/>
        </w:rPr>
        <w:t>表；</w:t>
      </w:r>
    </w:p>
    <w:p>
      <w:pPr>
        <w:keepNext w:val="0"/>
        <w:keepLines w:val="0"/>
        <w:pageBreakBefore w:val="0"/>
        <w:widowControl w:val="0"/>
        <w:kinsoku/>
        <w:wordWrap/>
        <w:overflowPunct/>
        <w:topLinePunct w:val="0"/>
        <w:bidi w:val="0"/>
        <w:snapToGrid w:val="0"/>
        <w:spacing w:line="580" w:lineRule="exact"/>
        <w:ind w:firstLine="640" w:firstLineChars="200"/>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 xml:space="preserve">2. </w:t>
      </w:r>
      <w:r>
        <w:rPr>
          <w:rFonts w:hint="eastAsia" w:ascii="Times New Roman" w:hAnsi="Times New Roman" w:eastAsia="方正仿宋_GBK" w:cs="Times New Roman"/>
          <w:kern w:val="2"/>
          <w:sz w:val="32"/>
          <w:szCs w:val="32"/>
          <w:lang w:val="zh-CN" w:eastAsia="zh-CN" w:bidi="ar-SA"/>
        </w:rPr>
        <w:t>磋商响应报价表（见附件</w:t>
      </w:r>
      <w:r>
        <w:rPr>
          <w:rFonts w:hint="eastAsia" w:ascii="Times New Roman" w:hAnsi="Times New Roman" w:eastAsia="方正仿宋_GBK" w:cs="Times New Roman"/>
          <w:kern w:val="2"/>
          <w:sz w:val="32"/>
          <w:szCs w:val="32"/>
          <w:lang w:val="en-US" w:eastAsia="zh-CN" w:bidi="ar-SA"/>
        </w:rPr>
        <w:t>二</w:t>
      </w:r>
      <w:r>
        <w:rPr>
          <w:rFonts w:hint="eastAsia" w:ascii="Times New Roman" w:hAnsi="Times New Roman" w:eastAsia="方正仿宋_GBK" w:cs="Times New Roman"/>
          <w:kern w:val="2"/>
          <w:sz w:val="32"/>
          <w:szCs w:val="32"/>
          <w:lang w:val="zh-CN" w:eastAsia="zh-CN" w:bidi="ar-SA"/>
        </w:rPr>
        <w:t>）。</w:t>
      </w:r>
    </w:p>
    <w:p>
      <w:pPr>
        <w:pStyle w:val="1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八、评分标准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采用综合评分法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eastAsia="zh-CN"/>
        </w:rPr>
        <w:t>按照供应商</w:t>
      </w:r>
      <w:r>
        <w:rPr>
          <w:rFonts w:hint="default" w:ascii="Times New Roman" w:hAnsi="Times New Roman" w:eastAsia="方正仿宋_GBK" w:cs="Times New Roman"/>
          <w:sz w:val="32"/>
          <w:szCs w:val="32"/>
          <w:lang w:val="en-US" w:eastAsia="zh-CN"/>
        </w:rPr>
        <w:t>提交的</w:t>
      </w:r>
      <w:r>
        <w:rPr>
          <w:rFonts w:hint="default" w:ascii="Times New Roman" w:hAnsi="Times New Roman" w:eastAsia="方正仿宋_GBK" w:cs="Times New Roman"/>
          <w:sz w:val="32"/>
          <w:szCs w:val="32"/>
        </w:rPr>
        <w:t>响应文件和最后报价进行综合评分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最终得分最高的为第一成交候选人，在分数相同的情况下由采购人代表现场抽签确定成交候选人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若第一成交候选人弃标的，由第二成交候选人成交，依次类推。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商务技术部分评审结束后，再开启最后报价计算分值。总分值为100分，加分和减分因素除外。</w:t>
      </w:r>
    </w:p>
    <w:p>
      <w:pPr>
        <w:keepNext w:val="0"/>
        <w:keepLines w:val="0"/>
        <w:pageBreakBefore w:val="0"/>
        <w:widowControl w:val="0"/>
        <w:kinsoku/>
        <w:wordWrap/>
        <w:overflowPunct/>
        <w:topLinePunct w:val="0"/>
        <w:bidi w:val="0"/>
        <w:snapToGrid w:val="0"/>
        <w:spacing w:line="580" w:lineRule="exact"/>
        <w:ind w:left="2" w:firstLine="643" w:firstLineChars="200"/>
        <w:jc w:val="left"/>
        <w:textAlignment w:val="auto"/>
        <w:rPr>
          <w:rFonts w:hint="default" w:ascii="Times New Roman" w:hAnsi="Times New Roman" w:eastAsia="方正仿宋_GBK" w:cs="Times New Roman"/>
          <w:color w:val="000000" w:themeColor="text1"/>
          <w:sz w:val="32"/>
          <w:szCs w:val="32"/>
          <w:lang w:val="zh-CN"/>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商务技术分</w:t>
      </w:r>
      <w:r>
        <w:rPr>
          <w:rFonts w:hint="default" w:ascii="Times New Roman" w:hAnsi="Times New Roman" w:eastAsia="方正仿宋_GBK" w:cs="Times New Roman"/>
          <w:color w:val="000000" w:themeColor="text1"/>
          <w:sz w:val="32"/>
          <w:szCs w:val="32"/>
          <w:lang w:val="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lang w:val="zh-CN"/>
          <w14:textFill>
            <w14:solidFill>
              <w14:schemeClr w14:val="tx1"/>
            </w14:solidFill>
          </w14:textFill>
        </w:rPr>
        <w:t>分</w:t>
      </w:r>
    </w:p>
    <w:p>
      <w:pPr>
        <w:keepNext w:val="0"/>
        <w:keepLines w:val="0"/>
        <w:pageBreakBefore w:val="0"/>
        <w:widowControl w:val="0"/>
        <w:kinsoku/>
        <w:wordWrap/>
        <w:overflowPunct/>
        <w:topLinePunct w:val="0"/>
        <w:bidi w:val="0"/>
        <w:snapToGrid w:val="0"/>
        <w:spacing w:line="580" w:lineRule="exact"/>
        <w:ind w:firstLine="640" w:firstLineChars="200"/>
        <w:contextualSpacing/>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各投标人得分为评委会成员评分的算术平均分，分值保留小数点后两位。</w:t>
      </w:r>
    </w:p>
    <w:p>
      <w:pPr>
        <w:keepNext w:val="0"/>
        <w:keepLines w:val="0"/>
        <w:pageBreakBefore w:val="0"/>
        <w:widowControl w:val="0"/>
        <w:kinsoku/>
        <w:wordWrap/>
        <w:overflowPunct/>
        <w:topLinePunct w:val="0"/>
        <w:bidi w:val="0"/>
        <w:snapToGrid w:val="0"/>
        <w:spacing w:line="580" w:lineRule="exact"/>
        <w:ind w:firstLine="640" w:firstLineChars="200"/>
        <w:contextualSpacing/>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tbl>
      <w:tblPr>
        <w:tblStyle w:val="13"/>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01"/>
        <w:gridCol w:w="1095"/>
        <w:gridCol w:w="666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7" w:hRule="atLeast"/>
          <w:jc w:val="center"/>
        </w:trPr>
        <w:tc>
          <w:tcPr>
            <w:tcW w:w="1696" w:type="dxa"/>
            <w:gridSpan w:val="2"/>
            <w:shd w:val="clear" w:color="auto" w:fill="FFFFFF"/>
            <w:vAlign w:val="center"/>
          </w:tcPr>
          <w:p>
            <w:pPr>
              <w:autoSpaceDE w:val="0"/>
              <w:autoSpaceDN w:val="0"/>
              <w:adjustRightInd w:val="0"/>
              <w:snapToGrid w:val="0"/>
              <w:spacing w:before="100" w:after="100" w:line="320" w:lineRule="exact"/>
              <w:contextualSpacing/>
              <w:jc w:val="center"/>
              <w:rPr>
                <w:rFonts w:ascii="Times New Roman" w:hAnsi="Times New Roman" w:eastAsia="仿宋" w:cs="Times New Roman"/>
                <w:b/>
                <w:bCs/>
                <w:kern w:val="0"/>
                <w:sz w:val="24"/>
                <w:szCs w:val="24"/>
                <w:lang w:val="zh-CN"/>
              </w:rPr>
            </w:pPr>
            <w:r>
              <w:rPr>
                <w:rFonts w:hint="eastAsia" w:ascii="Times New Roman" w:hAnsi="Times New Roman" w:eastAsia="仿宋" w:cs="Times New Roman"/>
                <w:b/>
                <w:bCs/>
                <w:kern w:val="0"/>
                <w:sz w:val="24"/>
                <w:szCs w:val="24"/>
                <w:lang w:val="zh-CN"/>
              </w:rPr>
              <w:t>评分项</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contextualSpacing/>
              <w:jc w:val="center"/>
              <w:rPr>
                <w:rFonts w:ascii="Times New Roman" w:hAnsi="Times New Roman" w:eastAsia="仿宋" w:cs="Times New Roman"/>
                <w:b/>
                <w:bCs/>
                <w:kern w:val="0"/>
                <w:sz w:val="24"/>
                <w:szCs w:val="24"/>
                <w:lang w:val="zh-CN"/>
              </w:rPr>
            </w:pPr>
            <w:r>
              <w:rPr>
                <w:rFonts w:hint="eastAsia" w:ascii="Times New Roman" w:hAnsi="Times New Roman" w:eastAsia="仿宋" w:cs="Times New Roman"/>
                <w:b/>
                <w:bCs/>
                <w:kern w:val="0"/>
                <w:sz w:val="24"/>
                <w:szCs w:val="24"/>
                <w:lang w:val="zh-CN"/>
              </w:rPr>
              <w:t>评分标准</w:t>
            </w:r>
          </w:p>
        </w:tc>
        <w:tc>
          <w:tcPr>
            <w:tcW w:w="750" w:type="dxa"/>
            <w:shd w:val="clear" w:color="auto" w:fill="FFFFFF"/>
            <w:vAlign w:val="center"/>
          </w:tcPr>
          <w:p>
            <w:pPr>
              <w:autoSpaceDE w:val="0"/>
              <w:autoSpaceDN w:val="0"/>
              <w:adjustRightInd w:val="0"/>
              <w:snapToGrid w:val="0"/>
              <w:spacing w:before="100" w:after="100" w:line="320" w:lineRule="exact"/>
              <w:contextualSpacing/>
              <w:jc w:val="center"/>
              <w:rPr>
                <w:rFonts w:ascii="Times New Roman" w:hAnsi="Times New Roman" w:eastAsia="仿宋" w:cs="Times New Roman"/>
                <w:b/>
                <w:bCs/>
                <w:kern w:val="0"/>
                <w:sz w:val="24"/>
                <w:szCs w:val="24"/>
                <w:lang w:val="zh-CN"/>
              </w:rPr>
            </w:pPr>
            <w:r>
              <w:rPr>
                <w:rFonts w:hint="eastAsia" w:ascii="Times New Roman" w:hAnsi="Times New Roman" w:eastAsia="仿宋" w:cs="Times New Roman"/>
                <w:b/>
                <w:bCs/>
                <w:kern w:val="0"/>
                <w:sz w:val="24"/>
                <w:szCs w:val="24"/>
                <w:lang w:val="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1" w:hRule="atLeast"/>
          <w:jc w:val="center"/>
        </w:trPr>
        <w:tc>
          <w:tcPr>
            <w:tcW w:w="601" w:type="dxa"/>
            <w:vMerge w:val="restart"/>
            <w:shd w:val="clear" w:color="auto" w:fill="FFFFFF"/>
            <w:vAlign w:val="center"/>
          </w:tcPr>
          <w:p>
            <w:pPr>
              <w:spacing w:line="360" w:lineRule="exact"/>
              <w:jc w:val="center"/>
              <w:rPr>
                <w:rFonts w:ascii="Times New Roman" w:hAnsi="Times New Roman" w:eastAsia="方正仿宋_GBK" w:cs="Times New Roman"/>
                <w:sz w:val="24"/>
                <w:szCs w:val="24"/>
              </w:rPr>
            </w:pPr>
            <w:r>
              <w:rPr>
                <w:rFonts w:ascii="Times New Roman" w:hAnsi="Times New Roman" w:eastAsia="仿宋" w:cs="Times New Roman"/>
                <w:kern w:val="0"/>
                <w:sz w:val="24"/>
                <w:szCs w:val="24"/>
                <w:lang w:val="zh-CN"/>
              </w:rPr>
              <w:t>商务部分</w:t>
            </w:r>
            <w:r>
              <w:rPr>
                <w:rFonts w:hint="eastAsia" w:ascii="Times New Roman" w:hAnsi="Times New Roman" w:eastAsia="仿宋" w:cs="Times New Roman"/>
                <w:kern w:val="0"/>
                <w:sz w:val="24"/>
                <w:szCs w:val="24"/>
                <w:lang w:val="zh-CN"/>
              </w:rPr>
              <w:t>（</w:t>
            </w:r>
            <w:r>
              <w:rPr>
                <w:rFonts w:hint="eastAsia" w:ascii="Times New Roman" w:hAnsi="Times New Roman" w:eastAsia="仿宋" w:cs="Times New Roman"/>
                <w:kern w:val="0"/>
                <w:sz w:val="24"/>
                <w:szCs w:val="24"/>
              </w:rPr>
              <w:t>40分</w:t>
            </w:r>
            <w:r>
              <w:rPr>
                <w:rFonts w:hint="eastAsia" w:ascii="Times New Roman" w:hAnsi="Times New Roman" w:eastAsia="仿宋" w:cs="Times New Roman"/>
                <w:kern w:val="0"/>
                <w:sz w:val="24"/>
                <w:szCs w:val="24"/>
                <w:lang w:val="zh-CN"/>
              </w:rPr>
              <w:t>）</w:t>
            </w: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业绩</w:t>
            </w:r>
          </w:p>
          <w:p>
            <w:pPr>
              <w:autoSpaceDE w:val="0"/>
              <w:autoSpaceDN w:val="0"/>
              <w:adjustRightInd w:val="0"/>
              <w:snapToGrid w:val="0"/>
              <w:spacing w:before="100" w:after="100" w:line="320" w:lineRule="exact"/>
              <w:ind w:firstLine="24"/>
              <w:contextualSpacing/>
              <w:jc w:val="center"/>
              <w:rPr>
                <w:rFonts w:ascii="Times New Roman" w:hAnsi="Times New Roman" w:cs="Times New Roman"/>
                <w:sz w:val="24"/>
                <w:szCs w:val="24"/>
              </w:rPr>
            </w:pPr>
            <w:r>
              <w:rPr>
                <w:rFonts w:ascii="Times New Roman" w:hAnsi="Times New Roman" w:eastAsia="仿宋" w:cs="Times New Roman"/>
                <w:kern w:val="0"/>
                <w:sz w:val="24"/>
                <w:szCs w:val="24"/>
                <w:lang w:val="zh-CN"/>
              </w:rPr>
              <w:t>案例</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480" w:firstLineChars="2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供应商自2023年1月1日（以合同签订时间为准）以来有类似运维项目案例的，每提供1个案例得</w:t>
            </w: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lang w:val="zh-CN"/>
              </w:rPr>
              <w:t>分，最高得</w:t>
            </w:r>
            <w:r>
              <w:rPr>
                <w:rFonts w:hint="eastAsia" w:ascii="Times New Roman" w:hAnsi="Times New Roman" w:eastAsia="仿宋" w:cs="Times New Roman"/>
                <w:kern w:val="0"/>
                <w:sz w:val="24"/>
                <w:szCs w:val="24"/>
              </w:rPr>
              <w:t>6</w:t>
            </w:r>
            <w:r>
              <w:rPr>
                <w:rFonts w:ascii="Times New Roman" w:hAnsi="Times New Roman" w:eastAsia="仿宋" w:cs="Times New Roman"/>
                <w:kern w:val="0"/>
                <w:sz w:val="24"/>
                <w:szCs w:val="24"/>
                <w:lang w:val="zh-CN"/>
              </w:rPr>
              <w:t>分。注：须提供相关案例合同复印件，未提供或不符合要求的不得分。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rPr>
              <w:t>6</w:t>
            </w:r>
            <w:r>
              <w:rPr>
                <w:rFonts w:ascii="Times New Roman" w:hAnsi="Times New Roman" w:eastAsia="仿宋" w:cs="Times New Roman"/>
                <w:kern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4" w:hRule="atLeast"/>
          <w:jc w:val="center"/>
        </w:trPr>
        <w:tc>
          <w:tcPr>
            <w:tcW w:w="601" w:type="dxa"/>
            <w:vMerge w:val="continue"/>
            <w:shd w:val="clear" w:color="auto" w:fill="FFFFFF"/>
            <w:vAlign w:val="center"/>
          </w:tcPr>
          <w:p>
            <w:pPr>
              <w:spacing w:line="360" w:lineRule="exact"/>
              <w:jc w:val="center"/>
              <w:rPr>
                <w:rFonts w:ascii="Times New Roman" w:hAnsi="Times New Roman" w:cs="Times New Roman"/>
                <w:sz w:val="24"/>
                <w:szCs w:val="24"/>
              </w:rPr>
            </w:pP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服务</w:t>
            </w:r>
          </w:p>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能力</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480" w:firstLineChars="2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1.供应商具有ISO9001质量管理体系认证、ISO27001信息安全管理体系认证、CCRC信息安全服务资质（信息系统安全集成服务资质三级或以上）、ITSS信息技术服务（运行维护三级或以上）；每提供1个证书得2分，本项最高得8分，未提供或不符合要求的不得分；</w:t>
            </w:r>
          </w:p>
          <w:p>
            <w:pPr>
              <w:autoSpaceDE w:val="0"/>
              <w:autoSpaceDN w:val="0"/>
              <w:adjustRightInd w:val="0"/>
              <w:snapToGrid w:val="0"/>
              <w:spacing w:before="100" w:after="100" w:line="320" w:lineRule="exact"/>
              <w:ind w:firstLine="480" w:firstLineChars="2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2.供应商具有符合信息系统建设和服务能力CS2或以上、安防工程企业设计施工维护能力证书</w:t>
            </w:r>
            <w:r>
              <w:rPr>
                <w:rFonts w:hint="eastAsia" w:ascii="Times New Roman" w:hAnsi="Times New Roman" w:eastAsia="仿宋" w:cs="Times New Roman"/>
                <w:kern w:val="0"/>
                <w:sz w:val="24"/>
                <w:szCs w:val="24"/>
                <w:lang w:val="zh-CN"/>
              </w:rPr>
              <w:t>（贰级或以上）、</w:t>
            </w:r>
            <w:r>
              <w:rPr>
                <w:rFonts w:hint="eastAsia" w:ascii="Times New Roman" w:hAnsi="Times New Roman" w:eastAsia="仿宋" w:cs="Times New Roman"/>
                <w:kern w:val="0"/>
                <w:sz w:val="24"/>
                <w:szCs w:val="24"/>
                <w:lang w:val="en-US" w:eastAsia="zh-CN"/>
              </w:rPr>
              <w:t>售后服务认证证书（五星级或以上）</w:t>
            </w:r>
            <w:r>
              <w:rPr>
                <w:rFonts w:ascii="Times New Roman" w:hAnsi="Times New Roman" w:eastAsia="仿宋" w:cs="Times New Roman"/>
                <w:kern w:val="0"/>
                <w:sz w:val="24"/>
                <w:szCs w:val="24"/>
                <w:lang w:val="zh-CN"/>
              </w:rPr>
              <w:t>；每提供1个证书得</w:t>
            </w:r>
            <w:r>
              <w:rPr>
                <w:rFonts w:hint="eastAsia" w:ascii="Times New Roman" w:hAnsi="Times New Roman" w:eastAsia="仿宋" w:cs="Times New Roman"/>
                <w:kern w:val="0"/>
                <w:sz w:val="24"/>
                <w:szCs w:val="24"/>
              </w:rPr>
              <w:t>3</w:t>
            </w:r>
            <w:r>
              <w:rPr>
                <w:rFonts w:ascii="Times New Roman" w:hAnsi="Times New Roman" w:eastAsia="仿宋" w:cs="Times New Roman"/>
                <w:kern w:val="0"/>
                <w:sz w:val="24"/>
                <w:szCs w:val="24"/>
                <w:lang w:val="zh-CN"/>
              </w:rPr>
              <w:t>分，本项最高得</w:t>
            </w:r>
            <w:r>
              <w:rPr>
                <w:rFonts w:hint="eastAsia" w:ascii="Times New Roman" w:hAnsi="Times New Roman" w:eastAsia="仿宋" w:cs="Times New Roman"/>
                <w:kern w:val="0"/>
                <w:sz w:val="24"/>
                <w:szCs w:val="24"/>
              </w:rPr>
              <w:t>9</w:t>
            </w:r>
            <w:r>
              <w:rPr>
                <w:rFonts w:ascii="Times New Roman" w:hAnsi="Times New Roman" w:eastAsia="仿宋" w:cs="Times New Roman"/>
                <w:kern w:val="0"/>
                <w:sz w:val="24"/>
                <w:szCs w:val="24"/>
                <w:lang w:val="zh-CN"/>
              </w:rPr>
              <w:t>分，未提供或不符合要求的不得分。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rPr>
              <w:t>17</w:t>
            </w:r>
            <w:r>
              <w:rPr>
                <w:rFonts w:ascii="Times New Roman" w:hAnsi="Times New Roman" w:eastAsia="仿宋" w:cs="Times New Roman"/>
                <w:kern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jc w:val="center"/>
        </w:trPr>
        <w:tc>
          <w:tcPr>
            <w:tcW w:w="601" w:type="dxa"/>
            <w:vMerge w:val="continue"/>
            <w:shd w:val="clear" w:color="auto" w:fill="FFFFFF"/>
            <w:vAlign w:val="center"/>
          </w:tcPr>
          <w:p>
            <w:pPr>
              <w:spacing w:line="360" w:lineRule="exact"/>
              <w:jc w:val="center"/>
              <w:rPr>
                <w:rFonts w:ascii="Times New Roman" w:hAnsi="Times New Roman" w:cs="Times New Roman"/>
                <w:sz w:val="24"/>
                <w:szCs w:val="24"/>
              </w:rPr>
            </w:pP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项目</w:t>
            </w:r>
          </w:p>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团队</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506" w:firstLineChars="211"/>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供应商为本项目配备相应管理及技术人员：</w:t>
            </w:r>
          </w:p>
          <w:p>
            <w:pPr>
              <w:autoSpaceDE w:val="0"/>
              <w:autoSpaceDN w:val="0"/>
              <w:adjustRightInd w:val="0"/>
              <w:snapToGrid w:val="0"/>
              <w:spacing w:before="100" w:after="100" w:line="320" w:lineRule="exact"/>
              <w:ind w:firstLine="506" w:firstLineChars="211"/>
              <w:contextualSpacing/>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w:t>
            </w:r>
            <w:r>
              <w:rPr>
                <w:rFonts w:ascii="Times New Roman" w:hAnsi="Times New Roman" w:eastAsia="仿宋" w:cs="Times New Roman"/>
                <w:kern w:val="0"/>
                <w:sz w:val="24"/>
                <w:szCs w:val="24"/>
                <w:lang w:val="zh-CN"/>
              </w:rPr>
              <w:t>具备</w:t>
            </w:r>
            <w:r>
              <w:rPr>
                <w:rFonts w:hint="eastAsia" w:ascii="Times New Roman" w:hAnsi="Times New Roman" w:eastAsia="仿宋" w:cs="Times New Roman"/>
                <w:kern w:val="0"/>
                <w:sz w:val="24"/>
                <w:szCs w:val="24"/>
                <w:lang w:val="zh-CN"/>
              </w:rPr>
              <w:t>C</w:t>
            </w:r>
            <w:r>
              <w:rPr>
                <w:rFonts w:ascii="Times New Roman" w:hAnsi="Times New Roman" w:eastAsia="仿宋" w:cs="Times New Roman"/>
                <w:kern w:val="0"/>
                <w:sz w:val="24"/>
                <w:szCs w:val="24"/>
                <w:lang w:val="zh-CN"/>
              </w:rPr>
              <w:t>ISP</w:t>
            </w:r>
            <w:r>
              <w:rPr>
                <w:rFonts w:hint="eastAsia" w:ascii="Times New Roman" w:hAnsi="Times New Roman" w:eastAsia="仿宋" w:cs="Times New Roman"/>
                <w:kern w:val="0"/>
                <w:sz w:val="24"/>
                <w:szCs w:val="24"/>
                <w:lang w:val="zh-CN"/>
              </w:rPr>
              <w:t>注册信息安全工程师</w:t>
            </w:r>
            <w:r>
              <w:rPr>
                <w:rFonts w:hint="eastAsia" w:ascii="Times New Roman" w:hAnsi="Times New Roman" w:eastAsia="仿宋" w:cs="Times New Roman"/>
                <w:kern w:val="0"/>
                <w:sz w:val="24"/>
                <w:szCs w:val="24"/>
                <w:lang w:val="en-US" w:eastAsia="zh-CN"/>
              </w:rPr>
              <w:t>证书，</w:t>
            </w:r>
            <w:r>
              <w:rPr>
                <w:rFonts w:ascii="Times New Roman" w:hAnsi="Times New Roman" w:eastAsia="仿宋" w:cs="Times New Roman"/>
                <w:kern w:val="0"/>
                <w:sz w:val="24"/>
                <w:szCs w:val="24"/>
                <w:lang w:val="zh-CN"/>
              </w:rPr>
              <w:t>每提供1个得2分，最多得4分</w:t>
            </w:r>
            <w:r>
              <w:rPr>
                <w:rFonts w:hint="eastAsia" w:ascii="Times New Roman" w:hAnsi="Times New Roman" w:eastAsia="仿宋" w:cs="Times New Roman"/>
                <w:kern w:val="0"/>
                <w:sz w:val="24"/>
                <w:szCs w:val="24"/>
                <w:lang w:val="en-US" w:eastAsia="zh-CN"/>
              </w:rPr>
              <w:t>；</w:t>
            </w:r>
          </w:p>
          <w:p>
            <w:pPr>
              <w:autoSpaceDE w:val="0"/>
              <w:autoSpaceDN w:val="0"/>
              <w:adjustRightInd w:val="0"/>
              <w:snapToGrid w:val="0"/>
              <w:spacing w:before="100" w:after="100" w:line="320" w:lineRule="exact"/>
              <w:ind w:firstLine="506" w:firstLineChars="211"/>
              <w:contextualSpacing/>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lang w:val="en-US" w:eastAsia="zh-CN"/>
              </w:rPr>
              <w:t>2.具备CISAW信息安全保障人员证书(安全运维专业级)及CISAW信息安全保障人员证书（风险管理），得3分；</w:t>
            </w:r>
          </w:p>
          <w:p>
            <w:pPr>
              <w:autoSpaceDE w:val="0"/>
              <w:autoSpaceDN w:val="0"/>
              <w:adjustRightInd w:val="0"/>
              <w:snapToGrid w:val="0"/>
              <w:spacing w:before="100" w:after="100" w:line="320" w:lineRule="exact"/>
              <w:ind w:firstLine="506" w:firstLineChars="211"/>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3.具备</w:t>
            </w:r>
            <w:r>
              <w:rPr>
                <w:rFonts w:hint="eastAsia" w:ascii="Times New Roman" w:hAnsi="Times New Roman" w:eastAsia="仿宋" w:cs="Times New Roman"/>
                <w:kern w:val="0"/>
                <w:sz w:val="24"/>
                <w:szCs w:val="24"/>
                <w:lang w:val="zh-CN"/>
              </w:rPr>
              <w:t>高级路由交换网络工程师</w:t>
            </w:r>
            <w:r>
              <w:rPr>
                <w:rFonts w:ascii="Times New Roman" w:hAnsi="Times New Roman" w:eastAsia="仿宋" w:cs="Times New Roman"/>
                <w:kern w:val="0"/>
                <w:sz w:val="24"/>
                <w:szCs w:val="24"/>
                <w:lang w:val="zh-CN"/>
              </w:rPr>
              <w:t xml:space="preserve"> (</w:t>
            </w:r>
            <w:r>
              <w:rPr>
                <w:rFonts w:hint="eastAsia" w:ascii="Times New Roman" w:hAnsi="Times New Roman" w:eastAsia="仿宋" w:cs="Times New Roman"/>
                <w:kern w:val="0"/>
                <w:sz w:val="24"/>
                <w:szCs w:val="24"/>
                <w:lang w:val="zh-CN"/>
              </w:rPr>
              <w:t>华为或华三</w:t>
            </w:r>
            <w:r>
              <w:rPr>
                <w:rFonts w:ascii="Times New Roman" w:hAnsi="Times New Roman" w:eastAsia="仿宋" w:cs="Times New Roman"/>
                <w:kern w:val="0"/>
                <w:sz w:val="24"/>
                <w:szCs w:val="24"/>
                <w:lang w:val="zh-CN"/>
              </w:rPr>
              <w:t>)，得</w:t>
            </w:r>
            <w:r>
              <w:rPr>
                <w:rFonts w:hint="eastAsia" w:ascii="Times New Roman" w:hAnsi="Times New Roman" w:eastAsia="仿宋" w:cs="Times New Roman"/>
                <w:kern w:val="0"/>
                <w:sz w:val="24"/>
                <w:szCs w:val="24"/>
                <w:lang w:val="en-US" w:eastAsia="zh-CN"/>
              </w:rPr>
              <w:t>2</w:t>
            </w:r>
            <w:r>
              <w:rPr>
                <w:rFonts w:ascii="Times New Roman" w:hAnsi="Times New Roman" w:eastAsia="仿宋" w:cs="Times New Roman"/>
                <w:kern w:val="0"/>
                <w:sz w:val="24"/>
                <w:szCs w:val="24"/>
                <w:lang w:val="zh-CN"/>
              </w:rPr>
              <w:t>分</w:t>
            </w:r>
          </w:p>
          <w:p>
            <w:pPr>
              <w:autoSpaceDE w:val="0"/>
              <w:autoSpaceDN w:val="0"/>
              <w:adjustRightInd w:val="0"/>
              <w:snapToGrid w:val="0"/>
              <w:spacing w:before="100" w:after="100" w:line="320" w:lineRule="exact"/>
              <w:ind w:firstLine="506" w:firstLineChars="211"/>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4.具备售后服务管理师证书，每提供1个得2分，最多得4分；</w:t>
            </w:r>
          </w:p>
          <w:p>
            <w:pPr>
              <w:autoSpaceDE w:val="0"/>
              <w:autoSpaceDN w:val="0"/>
              <w:adjustRightInd w:val="0"/>
              <w:snapToGrid w:val="0"/>
              <w:spacing w:before="100" w:after="100" w:line="320" w:lineRule="exact"/>
              <w:ind w:firstLine="506" w:firstLineChars="211"/>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5.具备IT服务工程师(ITSS)证书，每提供1个得2分，最多得4分；</w:t>
            </w:r>
          </w:p>
          <w:p>
            <w:pPr>
              <w:autoSpaceDE w:val="0"/>
              <w:autoSpaceDN w:val="0"/>
              <w:adjustRightInd w:val="0"/>
              <w:snapToGrid w:val="0"/>
              <w:spacing w:before="100" w:after="100" w:line="320" w:lineRule="exact"/>
              <w:ind w:firstLine="480" w:firstLineChars="2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注：项目团队人员须为供应商在职员工，提供相应人员证书复印件及供应商2026年以来为其缴纳的社保证明，未提供或不符合要求的不得分。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4" w:hRule="atLeast"/>
          <w:jc w:val="center"/>
        </w:trPr>
        <w:tc>
          <w:tcPr>
            <w:tcW w:w="601" w:type="dxa"/>
            <w:vMerge w:val="restart"/>
            <w:shd w:val="clear" w:color="auto" w:fill="FFFFFF"/>
            <w:vAlign w:val="center"/>
          </w:tcPr>
          <w:p>
            <w:pPr>
              <w:spacing w:line="360" w:lineRule="exact"/>
              <w:jc w:val="center"/>
              <w:rPr>
                <w:rFonts w:ascii="Times New Roman" w:hAnsi="Times New Roman" w:cs="Times New Roman"/>
                <w:sz w:val="24"/>
                <w:szCs w:val="24"/>
              </w:rPr>
            </w:pPr>
            <w:r>
              <w:rPr>
                <w:rFonts w:ascii="Times New Roman" w:hAnsi="Times New Roman" w:eastAsia="仿宋" w:cs="Times New Roman"/>
                <w:kern w:val="0"/>
                <w:sz w:val="24"/>
                <w:szCs w:val="24"/>
                <w:lang w:val="zh-CN"/>
              </w:rPr>
              <w:t>技术部分（</w:t>
            </w:r>
            <w:r>
              <w:rPr>
                <w:rFonts w:hint="eastAsia" w:ascii="Times New Roman" w:hAnsi="Times New Roman" w:eastAsia="仿宋" w:cs="Times New Roman"/>
                <w:kern w:val="0"/>
                <w:sz w:val="24"/>
                <w:szCs w:val="24"/>
              </w:rPr>
              <w:t>50</w:t>
            </w:r>
            <w:r>
              <w:rPr>
                <w:rFonts w:ascii="Times New Roman" w:hAnsi="Times New Roman" w:eastAsia="仿宋" w:cs="Times New Roman"/>
                <w:kern w:val="0"/>
                <w:sz w:val="24"/>
                <w:szCs w:val="24"/>
                <w:lang w:val="zh-CN"/>
              </w:rPr>
              <w:t>分）</w:t>
            </w: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维护服务巡检方案</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根据供应商提供的维护服务巡检方案（包括但不限于组织架构、服务流程、项目管理等内容）进行评分。</w:t>
            </w:r>
          </w:p>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方案非常详细、完善、合理，可行性非常强，能完全满足或优于项目要求的得1</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分；方案较详细、完善、合理，可行性较强，能基本满足项目要求的得</w:t>
            </w:r>
            <w:r>
              <w:rPr>
                <w:rFonts w:hint="eastAsia" w:ascii="Times New Roman" w:hAnsi="Times New Roman" w:eastAsia="仿宋" w:cs="Times New Roman"/>
                <w:kern w:val="0"/>
                <w:sz w:val="24"/>
                <w:szCs w:val="24"/>
              </w:rPr>
              <w:t>10</w:t>
            </w:r>
            <w:r>
              <w:rPr>
                <w:rFonts w:ascii="Times New Roman" w:hAnsi="Times New Roman" w:eastAsia="仿宋" w:cs="Times New Roman"/>
                <w:kern w:val="0"/>
                <w:sz w:val="24"/>
                <w:szCs w:val="24"/>
                <w:lang w:val="zh-CN"/>
              </w:rPr>
              <w:t>分；方案不够详细、完善、合理，可行性一般，能满足项目部分要求的得</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分；不提供不得分。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1</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5" w:hRule="atLeast"/>
          <w:jc w:val="center"/>
        </w:trPr>
        <w:tc>
          <w:tcPr>
            <w:tcW w:w="601" w:type="dxa"/>
            <w:vMerge w:val="continue"/>
            <w:shd w:val="clear" w:color="auto" w:fill="FFFFFF"/>
            <w:vAlign w:val="center"/>
          </w:tcPr>
          <w:p>
            <w:pPr>
              <w:spacing w:line="360" w:lineRule="exact"/>
              <w:jc w:val="center"/>
              <w:rPr>
                <w:rFonts w:ascii="Times New Roman" w:hAnsi="Times New Roman" w:cs="Times New Roman"/>
                <w:sz w:val="24"/>
                <w:szCs w:val="24"/>
              </w:rPr>
            </w:pP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维护服务实施方案</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根据供应商提供的维护服务实施方案（包括但不限于运维方案、售后服务方案等内容</w:t>
            </w:r>
            <w:r>
              <w:rPr>
                <w:rFonts w:hint="eastAsia" w:ascii="Times New Roman" w:hAnsi="Times New Roman" w:eastAsia="仿宋" w:cs="Times New Roman"/>
                <w:kern w:val="0"/>
                <w:sz w:val="24"/>
                <w:szCs w:val="24"/>
                <w:lang w:val="zh-CN"/>
              </w:rPr>
              <w:t>、网络及主干光缆拓扑、各弱电机房的网络点位等内容</w:t>
            </w:r>
            <w:r>
              <w:rPr>
                <w:rFonts w:ascii="Times New Roman" w:hAnsi="Times New Roman" w:eastAsia="仿宋" w:cs="Times New Roman"/>
                <w:kern w:val="0"/>
                <w:sz w:val="24"/>
                <w:szCs w:val="24"/>
                <w:lang w:val="zh-CN"/>
              </w:rPr>
              <w:t>）进行评分。</w:t>
            </w:r>
          </w:p>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方案非常详细、完善、合理，可行性非常强，能完全满足或优于项目要求的得1</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分；方案较详细、完善、合理，可行性较强，能基本满足项目要求的得</w:t>
            </w:r>
            <w:r>
              <w:rPr>
                <w:rFonts w:hint="eastAsia" w:ascii="Times New Roman" w:hAnsi="Times New Roman" w:eastAsia="仿宋" w:cs="Times New Roman"/>
                <w:kern w:val="0"/>
                <w:sz w:val="24"/>
                <w:szCs w:val="24"/>
              </w:rPr>
              <w:t>10</w:t>
            </w:r>
            <w:r>
              <w:rPr>
                <w:rFonts w:ascii="Times New Roman" w:hAnsi="Times New Roman" w:eastAsia="仿宋" w:cs="Times New Roman"/>
                <w:kern w:val="0"/>
                <w:sz w:val="24"/>
                <w:szCs w:val="24"/>
                <w:lang w:val="zh-CN"/>
              </w:rPr>
              <w:t>分；方案不够详细、完善、合理，可行性一般，能满足项目部分要求的得</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分；不提供不得分。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rPr>
              <w:t>15</w:t>
            </w:r>
            <w:r>
              <w:rPr>
                <w:rFonts w:ascii="Times New Roman" w:hAnsi="Times New Roman" w:eastAsia="仿宋" w:cs="Times New Roman"/>
                <w:kern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56" w:hRule="atLeast"/>
          <w:jc w:val="center"/>
        </w:trPr>
        <w:tc>
          <w:tcPr>
            <w:tcW w:w="601" w:type="dxa"/>
            <w:vMerge w:val="continue"/>
            <w:shd w:val="clear" w:color="auto" w:fill="FFFFFF"/>
            <w:vAlign w:val="center"/>
          </w:tcPr>
          <w:p>
            <w:pPr>
              <w:spacing w:line="360" w:lineRule="exact"/>
              <w:jc w:val="center"/>
              <w:rPr>
                <w:rFonts w:ascii="Times New Roman" w:hAnsi="Times New Roman" w:cs="Times New Roman"/>
                <w:sz w:val="24"/>
                <w:szCs w:val="24"/>
              </w:rPr>
            </w:pP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维护服务应急响应方案</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根据供应商提供的维护服务应急响应方案（包括应急措施、应急流程、事件处理方案等）进行评分。</w:t>
            </w:r>
          </w:p>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方案非常详细、完善、合理，可行性非常强，能完全满足或优于项目要求的得</w:t>
            </w:r>
            <w:r>
              <w:rPr>
                <w:rFonts w:hint="eastAsia" w:ascii="Times New Roman" w:hAnsi="Times New Roman" w:eastAsia="仿宋" w:cs="Times New Roman"/>
                <w:kern w:val="0"/>
                <w:sz w:val="24"/>
                <w:szCs w:val="24"/>
              </w:rPr>
              <w:t>15</w:t>
            </w:r>
            <w:r>
              <w:rPr>
                <w:rFonts w:ascii="Times New Roman" w:hAnsi="Times New Roman" w:eastAsia="仿宋" w:cs="Times New Roman"/>
                <w:kern w:val="0"/>
                <w:sz w:val="24"/>
                <w:szCs w:val="24"/>
                <w:lang w:val="zh-CN"/>
              </w:rPr>
              <w:t>分；方案较详细、完善、合理，可行性较强，能基本满足项目要求的得</w:t>
            </w:r>
            <w:r>
              <w:rPr>
                <w:rFonts w:hint="eastAsia" w:ascii="Times New Roman" w:hAnsi="Times New Roman" w:eastAsia="仿宋" w:cs="Times New Roman"/>
                <w:kern w:val="0"/>
                <w:sz w:val="24"/>
                <w:szCs w:val="24"/>
              </w:rPr>
              <w:t>10</w:t>
            </w:r>
            <w:r>
              <w:rPr>
                <w:rFonts w:ascii="Times New Roman" w:hAnsi="Times New Roman" w:eastAsia="仿宋" w:cs="Times New Roman"/>
                <w:kern w:val="0"/>
                <w:sz w:val="24"/>
                <w:szCs w:val="24"/>
                <w:lang w:val="zh-CN"/>
              </w:rPr>
              <w:t>分；方案不够详细、完善、合理，可行性一般，能满足项目部分要求的得</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分；不提供不得分。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rPr>
              <w:t>15</w:t>
            </w:r>
            <w:r>
              <w:rPr>
                <w:rFonts w:ascii="Times New Roman" w:hAnsi="Times New Roman" w:eastAsia="仿宋" w:cs="Times New Roman"/>
                <w:kern w:val="0"/>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5" w:hRule="atLeast"/>
          <w:jc w:val="center"/>
        </w:trPr>
        <w:tc>
          <w:tcPr>
            <w:tcW w:w="601" w:type="dxa"/>
            <w:vMerge w:val="continue"/>
            <w:shd w:val="clear" w:color="auto" w:fill="FFFFFF"/>
            <w:vAlign w:val="center"/>
          </w:tcPr>
          <w:p>
            <w:pPr>
              <w:spacing w:line="360" w:lineRule="exact"/>
              <w:jc w:val="center"/>
              <w:rPr>
                <w:rFonts w:ascii="Times New Roman" w:hAnsi="Times New Roman" w:cs="Times New Roman"/>
                <w:sz w:val="24"/>
                <w:szCs w:val="24"/>
              </w:rPr>
            </w:pPr>
          </w:p>
        </w:tc>
        <w:tc>
          <w:tcPr>
            <w:tcW w:w="1095"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运维服务信息保密方案</w:t>
            </w:r>
          </w:p>
        </w:tc>
        <w:tc>
          <w:tcPr>
            <w:tcW w:w="6663" w:type="dxa"/>
            <w:shd w:val="clear" w:color="auto" w:fill="FFFFFF"/>
            <w:tcMar>
              <w:top w:w="0" w:type="dxa"/>
              <w:left w:w="108" w:type="dxa"/>
              <w:bottom w:w="0" w:type="dxa"/>
              <w:right w:w="108" w:type="dxa"/>
            </w:tcMar>
            <w:vAlign w:val="center"/>
          </w:tcPr>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根据供应商提供的运维服务信息保密方案（包括保密措施、检查与监督等）进行评分。</w:t>
            </w:r>
          </w:p>
          <w:p>
            <w:pPr>
              <w:autoSpaceDE w:val="0"/>
              <w:autoSpaceDN w:val="0"/>
              <w:adjustRightInd w:val="0"/>
              <w:snapToGrid w:val="0"/>
              <w:spacing w:before="100" w:after="100" w:line="320" w:lineRule="exact"/>
              <w:ind w:firstLine="240" w:firstLineChars="100"/>
              <w:contextualSpacing/>
              <w:rPr>
                <w:rFonts w:ascii="Times New Roman" w:hAnsi="Times New Roman" w:eastAsia="仿宋" w:cs="Times New Roman"/>
                <w:kern w:val="0"/>
                <w:sz w:val="24"/>
                <w:szCs w:val="24"/>
                <w:lang w:val="zh-CN"/>
              </w:rPr>
            </w:pPr>
            <w:r>
              <w:rPr>
                <w:rFonts w:ascii="Times New Roman" w:hAnsi="Times New Roman" w:eastAsia="仿宋" w:cs="Times New Roman"/>
                <w:kern w:val="0"/>
                <w:sz w:val="24"/>
                <w:szCs w:val="24"/>
                <w:lang w:val="zh-CN"/>
              </w:rPr>
              <w:t>方案科学合理、思路清晰、可行性强的得</w:t>
            </w: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分；方案较科学合理、思路较清晰、可行性较强的得</w:t>
            </w:r>
            <w:r>
              <w:rPr>
                <w:rFonts w:hint="eastAsia" w:ascii="Times New Roman" w:hAnsi="Times New Roman" w:eastAsia="仿宋" w:cs="Times New Roman"/>
                <w:kern w:val="0"/>
                <w:sz w:val="24"/>
                <w:szCs w:val="24"/>
              </w:rPr>
              <w:t>3</w:t>
            </w:r>
            <w:r>
              <w:rPr>
                <w:rFonts w:ascii="Times New Roman" w:hAnsi="Times New Roman" w:eastAsia="仿宋" w:cs="Times New Roman"/>
                <w:kern w:val="0"/>
                <w:sz w:val="24"/>
                <w:szCs w:val="24"/>
                <w:lang w:val="zh-CN"/>
              </w:rPr>
              <w:t>分；方案不够科学合理、思路一般、可行性一般的得1分；不提供不得分。</w:t>
            </w:r>
          </w:p>
        </w:tc>
        <w:tc>
          <w:tcPr>
            <w:tcW w:w="750" w:type="dxa"/>
            <w:shd w:val="clear" w:color="auto" w:fill="FFFFFF"/>
            <w:vAlign w:val="center"/>
          </w:tcPr>
          <w:p>
            <w:pPr>
              <w:autoSpaceDE w:val="0"/>
              <w:autoSpaceDN w:val="0"/>
              <w:adjustRightInd w:val="0"/>
              <w:snapToGrid w:val="0"/>
              <w:spacing w:before="100" w:after="100" w:line="320" w:lineRule="exact"/>
              <w:ind w:firstLine="24"/>
              <w:contextualSpacing/>
              <w:jc w:val="center"/>
              <w:rPr>
                <w:rFonts w:ascii="Times New Roman" w:hAnsi="Times New Roman" w:eastAsia="仿宋" w:cs="Times New Roman"/>
                <w:kern w:val="0"/>
                <w:sz w:val="24"/>
                <w:szCs w:val="24"/>
                <w:lang w:val="zh-CN"/>
              </w:rPr>
            </w:pPr>
            <w:r>
              <w:rPr>
                <w:rFonts w:hint="eastAsia" w:ascii="Times New Roman" w:hAnsi="Times New Roman" w:eastAsia="仿宋" w:cs="Times New Roman"/>
                <w:kern w:val="0"/>
                <w:sz w:val="24"/>
                <w:szCs w:val="24"/>
              </w:rPr>
              <w:t>5</w:t>
            </w:r>
            <w:r>
              <w:rPr>
                <w:rFonts w:ascii="Times New Roman" w:hAnsi="Times New Roman" w:eastAsia="仿宋" w:cs="Times New Roman"/>
                <w:kern w:val="0"/>
                <w:sz w:val="24"/>
                <w:szCs w:val="24"/>
                <w:lang w:val="zh-CN"/>
              </w:rPr>
              <w:t>分</w:t>
            </w:r>
          </w:p>
        </w:tc>
      </w:tr>
    </w:tbl>
    <w:p>
      <w:pPr>
        <w:keepNext w:val="0"/>
        <w:keepLines w:val="0"/>
        <w:pageBreakBefore w:val="0"/>
        <w:widowControl w:val="0"/>
        <w:kinsoku/>
        <w:wordWrap/>
        <w:overflowPunct/>
        <w:topLinePunct w:val="0"/>
        <w:autoSpaceDE w:val="0"/>
        <w:autoSpaceDN w:val="0"/>
        <w:bidi w:val="0"/>
        <w:adjustRightInd w:val="0"/>
        <w:snapToGrid w:val="0"/>
        <w:spacing w:line="580" w:lineRule="exact"/>
        <w:textAlignment w:val="auto"/>
        <w:rPr>
          <w:rFonts w:hint="default" w:ascii="Times New Roman" w:hAnsi="Times New Roman" w:eastAsia="方正仿宋_GBK" w:cs="Times New Roman"/>
          <w:b/>
          <w:color w:val="000000" w:themeColor="text1"/>
          <w:sz w:val="32"/>
          <w:szCs w:val="32"/>
          <w:lang w:val="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56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b/>
          <w:color w:val="000000" w:themeColor="text1"/>
          <w:sz w:val="32"/>
          <w:szCs w:val="32"/>
          <w:lang w:val="zh-CN"/>
          <w14:textFill>
            <w14:solidFill>
              <w14:schemeClr w14:val="tx1"/>
            </w14:solidFill>
          </w14:textFill>
        </w:rPr>
        <w:t>价格分</w:t>
      </w:r>
      <w:r>
        <w:rPr>
          <w:rFonts w:hint="default" w:ascii="Times New Roman" w:hAnsi="Times New Roman" w:eastAsia="方正仿宋_GBK" w:cs="Times New Roman"/>
          <w:b/>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lang w:val="zh-CN"/>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价格标评标基准分为</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0分，满足招标文件要求且投标价格最低的投标报价为评标基准价，其价格分为满分（</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0分），其他投标人的价格分统一按照下列公式计算：</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投标报价得分=(投标基准价／最后投标报价)×</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0×100%。</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磋商小组认为供应商的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磋商处理。</w:t>
      </w:r>
    </w:p>
    <w:p>
      <w:pPr>
        <w:pStyle w:val="12"/>
        <w:keepNext w:val="0"/>
        <w:keepLines w:val="0"/>
        <w:pageBreakBefore w:val="0"/>
        <w:widowControl w:val="0"/>
        <w:kinsoku/>
        <w:wordWrap/>
        <w:overflowPunct/>
        <w:topLinePunct w:val="0"/>
        <w:bidi w:val="0"/>
        <w:spacing w:after="0" w:line="580" w:lineRule="exact"/>
        <w:ind w:left="0" w:leftChars="0" w:firstLine="0" w:firstLineChars="0"/>
        <w:textAlignment w:val="auto"/>
        <w:rPr>
          <w:rFonts w:hint="eastAsia" w:ascii="方正仿宋_GBK" w:hAnsi="方正仿宋_GBK" w:eastAsia="方正仿宋_GBK" w:cs="方正仿宋_GBK"/>
          <w:color w:val="000000" w:themeColor="text1"/>
          <w:lang w:val="en-US" w:eastAsia="zh-CN"/>
          <w14:textFill>
            <w14:solidFill>
              <w14:schemeClr w14:val="tx1"/>
            </w14:solidFill>
          </w14:textFill>
        </w:rPr>
      </w:pPr>
    </w:p>
    <w:p>
      <w:pPr>
        <w:pStyle w:val="23"/>
        <w:keepNext w:val="0"/>
        <w:keepLines w:val="0"/>
        <w:pageBreakBefore w:val="0"/>
        <w:widowControl w:val="0"/>
        <w:tabs>
          <w:tab w:val="left" w:pos="5325"/>
        </w:tabs>
        <w:kinsoku/>
        <w:wordWrap/>
        <w:overflowPunct/>
        <w:topLinePunct w:val="0"/>
        <w:bidi w:val="0"/>
        <w:snapToGrid w:val="0"/>
        <w:spacing w:line="580" w:lineRule="exact"/>
        <w:ind w:left="641" w:firstLine="0" w:firstLineChars="0"/>
        <w:contextualSpacing/>
        <w:textAlignment w:val="auto"/>
        <w:rPr>
          <w:rFonts w:hint="eastAsia" w:ascii="黑体" w:hAnsi="黑体" w:eastAsia="黑体" w:cs="Times New Roman"/>
          <w:sz w:val="32"/>
          <w:szCs w:val="32"/>
        </w:rPr>
      </w:pPr>
    </w:p>
    <w:p>
      <w:pPr>
        <w:pStyle w:val="12"/>
        <w:keepNext w:val="0"/>
        <w:keepLines w:val="0"/>
        <w:pageBreakBefore w:val="0"/>
        <w:widowControl w:val="0"/>
        <w:kinsoku/>
        <w:wordWrap/>
        <w:overflowPunct/>
        <w:topLinePunct w:val="0"/>
        <w:bidi w:val="0"/>
        <w:spacing w:after="0" w:line="580" w:lineRule="exact"/>
        <w:ind w:left="0" w:leftChars="0" w:firstLine="0" w:firstLineChars="0"/>
        <w:textAlignment w:val="auto"/>
        <w:sectPr>
          <w:footerReference r:id="rId3" w:type="default"/>
          <w:pgSz w:w="11906" w:h="16838"/>
          <w:pgMar w:top="1560" w:right="1800" w:bottom="1440" w:left="1800" w:header="851" w:footer="657" w:gutter="0"/>
          <w:pgNumType w:fmt="decimal" w:start="1"/>
          <w:cols w:space="425" w:num="1"/>
          <w:docGrid w:type="lines" w:linePitch="312" w:charSpace="0"/>
        </w:sectPr>
      </w:pPr>
    </w:p>
    <w:p>
      <w:pPr>
        <w:keepNext w:val="0"/>
        <w:keepLines w:val="0"/>
        <w:pageBreakBefore w:val="0"/>
        <w:kinsoku/>
        <w:wordWrap/>
        <w:overflowPunct/>
        <w:topLinePunct w:val="0"/>
        <w:bidi w:val="0"/>
        <w:spacing w:line="580" w:lineRule="exact"/>
        <w:textAlignment w:val="auto"/>
        <w:rPr>
          <w:rFonts w:ascii="宋体" w:hAnsi="Calibri" w:eastAsia="宋体" w:cs="Times New Roman"/>
          <w:b/>
          <w:bCs/>
          <w:sz w:val="24"/>
          <w:szCs w:val="24"/>
        </w:rPr>
      </w:pPr>
      <w:r>
        <w:rPr>
          <w:rFonts w:ascii="宋体"/>
          <w:b/>
          <w:bCs/>
          <w:sz w:val="24"/>
          <w:szCs w:val="24"/>
        </w:rPr>
        <w:t>附件</w:t>
      </w:r>
      <w:r>
        <w:rPr>
          <w:rFonts w:hint="eastAsia" w:ascii="宋体"/>
          <w:b/>
          <w:bCs/>
          <w:sz w:val="24"/>
          <w:szCs w:val="24"/>
          <w:lang w:val="en-US" w:eastAsia="zh-CN"/>
        </w:rPr>
        <w:t>1</w:t>
      </w:r>
    </w:p>
    <w:p>
      <w:pPr>
        <w:keepNext w:val="0"/>
        <w:keepLines w:val="0"/>
        <w:pageBreakBefore w:val="0"/>
        <w:kinsoku/>
        <w:wordWrap/>
        <w:overflowPunct/>
        <w:topLinePunct w:val="0"/>
        <w:bidi w:val="0"/>
        <w:spacing w:line="580" w:lineRule="exact"/>
        <w:textAlignment w:val="auto"/>
        <w:rPr>
          <w:rFonts w:ascii="宋体" w:hAnsi="Calibri" w:eastAsia="宋体" w:cs="Times New Roman"/>
          <w:sz w:val="24"/>
        </w:rPr>
      </w:pPr>
    </w:p>
    <w:p>
      <w:pPr>
        <w:keepNext w:val="0"/>
        <w:keepLines w:val="0"/>
        <w:pageBreakBefore w:val="0"/>
        <w:kinsoku/>
        <w:wordWrap/>
        <w:overflowPunct/>
        <w:topLinePunct w:val="0"/>
        <w:bidi w:val="0"/>
        <w:spacing w:line="580" w:lineRule="exact"/>
        <w:jc w:val="center"/>
        <w:textAlignment w:val="auto"/>
        <w:rPr>
          <w:rFonts w:hint="eastAsia" w:ascii="宋体" w:hAnsi="宋体" w:eastAsia="宋体" w:cs="Times New Roman"/>
          <w:b/>
          <w:bCs/>
          <w:sz w:val="36"/>
          <w:szCs w:val="36"/>
        </w:rPr>
      </w:pPr>
      <w:r>
        <w:rPr>
          <w:rFonts w:hint="eastAsia" w:ascii="宋体" w:hAnsi="宋体" w:eastAsia="宋体" w:cs="Times New Roman"/>
          <w:b/>
          <w:bCs/>
          <w:sz w:val="44"/>
          <w:szCs w:val="44"/>
          <w:lang w:val="zh-CN" w:eastAsia="zh-CN"/>
        </w:rPr>
        <w:t>投标承诺函</w:t>
      </w:r>
    </w:p>
    <w:p>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南通市</w:t>
      </w:r>
      <w:r>
        <w:rPr>
          <w:rFonts w:hint="eastAsia" w:ascii="方正仿宋_GBK" w:hAnsi="方正仿宋_GBK" w:eastAsia="方正仿宋_GBK" w:cs="方正仿宋_GBK"/>
          <w:sz w:val="32"/>
          <w:szCs w:val="32"/>
          <w:lang w:val="en-US" w:eastAsia="zh-CN"/>
        </w:rPr>
        <w:t>数据</w:t>
      </w:r>
      <w:r>
        <w:rPr>
          <w:rFonts w:hint="eastAsia" w:ascii="方正仿宋_GBK" w:hAnsi="方正仿宋_GBK" w:eastAsia="方正仿宋_GBK" w:cs="方正仿宋_GBK"/>
          <w:sz w:val="32"/>
          <w:szCs w:val="32"/>
        </w:rPr>
        <w:t>局：</w:t>
      </w:r>
    </w:p>
    <w:p>
      <w:pPr>
        <w:keepNext w:val="0"/>
        <w:keepLines w:val="0"/>
        <w:pageBreakBefore w:val="0"/>
        <w:widowControl w:val="0"/>
        <w:kinsoku/>
        <w:wordWrap/>
        <w:overflowPunct/>
        <w:topLinePunct w:val="0"/>
        <w:autoSpaceDE/>
        <w:autoSpaceDN/>
        <w:bidi w:val="0"/>
        <w:adjustRightInd/>
        <w:spacing w:line="58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（供应商名称）郑重承诺：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我单位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pacing w:line="580" w:lineRule="exact"/>
        <w:ind w:firstLine="56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lang w:val="en-US" w:eastAsia="zh-CN" w:bidi="ar-SA"/>
        </w:rPr>
        <w:t>贵方组织的</w:t>
      </w:r>
      <w:r>
        <w:rPr>
          <w:rFonts w:hint="eastAsia" w:ascii="Times New Roman" w:hAnsi="Times New Roman" w:eastAsia="方正仿宋_GBK" w:cs="Times New Roman"/>
          <w:sz w:val="32"/>
          <w:szCs w:val="32"/>
          <w:lang w:val="en-US" w:eastAsia="zh-CN"/>
        </w:rPr>
        <w:t>南通市数据局局机关、政务服务大厅信息化设备及网络运维服务项目，我</w:t>
      </w:r>
      <w:r>
        <w:rPr>
          <w:rFonts w:hint="eastAsia" w:ascii="方正仿宋_GBK" w:hAnsi="方正仿宋_GBK" w:eastAsia="方正仿宋_GBK" w:cs="方正仿宋_GBK"/>
          <w:sz w:val="32"/>
          <w:szCs w:val="32"/>
        </w:rPr>
        <w:t>单位所提交的材料均为真实的，且能提供满足供应要求的服务内容。</w:t>
      </w:r>
    </w:p>
    <w:p>
      <w:pPr>
        <w:pStyle w:val="12"/>
        <w:keepNext w:val="0"/>
        <w:keepLines w:val="0"/>
        <w:pageBreakBefore w:val="0"/>
        <w:kinsoku/>
        <w:wordWrap/>
        <w:overflowPunct/>
        <w:topLinePunct w:val="0"/>
        <w:bidi w:val="0"/>
        <w:spacing w:after="0" w:line="58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line="580" w:lineRule="exact"/>
        <w:ind w:firstLine="560"/>
        <w:jc w:val="lef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line="580" w:lineRule="exact"/>
        <w:ind w:firstLine="560"/>
        <w:jc w:val="lef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line="580" w:lineRule="exact"/>
        <w:ind w:firstLine="56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承诺人：（公章）</w:t>
      </w:r>
    </w:p>
    <w:p>
      <w:pPr>
        <w:keepNext w:val="0"/>
        <w:keepLines w:val="0"/>
        <w:pageBreakBefore w:val="0"/>
        <w:kinsoku/>
        <w:wordWrap/>
        <w:overflowPunct/>
        <w:topLinePunct w:val="0"/>
        <w:bidi w:val="0"/>
        <w:spacing w:line="580" w:lineRule="exact"/>
        <w:ind w:firstLine="56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12"/>
        <w:keepNext w:val="0"/>
        <w:keepLines w:val="0"/>
        <w:pageBreakBefore w:val="0"/>
        <w:kinsoku/>
        <w:overflowPunct/>
        <w:topLinePunct w:val="0"/>
        <w:bidi w:val="0"/>
        <w:spacing w:line="580" w:lineRule="exact"/>
        <w:textAlignment w:val="auto"/>
        <w:rPr>
          <w:rFonts w:hint="eastAsia" w:ascii="方正仿宋_GBK" w:hAnsi="方正仿宋_GBK" w:eastAsia="方正仿宋_GBK" w:cs="方正仿宋_GBK"/>
          <w:sz w:val="32"/>
          <w:szCs w:val="32"/>
        </w:rPr>
      </w:pPr>
    </w:p>
    <w:p>
      <w:pPr>
        <w:pStyle w:val="12"/>
        <w:keepNext w:val="0"/>
        <w:keepLines w:val="0"/>
        <w:pageBreakBefore w:val="0"/>
        <w:kinsoku/>
        <w:overflowPunct/>
        <w:topLinePunct w:val="0"/>
        <w:bidi w:val="0"/>
        <w:spacing w:line="580" w:lineRule="exact"/>
        <w:textAlignment w:val="auto"/>
        <w:rPr>
          <w:rFonts w:hint="eastAsia" w:ascii="方正仿宋_GBK" w:hAnsi="方正仿宋_GBK" w:eastAsia="方正仿宋_GBK" w:cs="方正仿宋_GBK"/>
          <w:sz w:val="32"/>
          <w:szCs w:val="32"/>
        </w:rPr>
      </w:pPr>
    </w:p>
    <w:p>
      <w:pPr>
        <w:pStyle w:val="12"/>
        <w:keepNext w:val="0"/>
        <w:keepLines w:val="0"/>
        <w:pageBreakBefore w:val="0"/>
        <w:kinsoku/>
        <w:overflowPunct/>
        <w:topLinePunct w:val="0"/>
        <w:bidi w:val="0"/>
        <w:spacing w:line="580" w:lineRule="exact"/>
        <w:textAlignment w:val="auto"/>
        <w:rPr>
          <w:rFonts w:hint="eastAsia" w:ascii="方正仿宋_GBK" w:hAnsi="方正仿宋_GBK" w:eastAsia="方正仿宋_GBK" w:cs="方正仿宋_GBK"/>
          <w:sz w:val="32"/>
          <w:szCs w:val="32"/>
        </w:rPr>
      </w:pPr>
    </w:p>
    <w:p>
      <w:pPr>
        <w:pStyle w:val="12"/>
        <w:keepNext w:val="0"/>
        <w:keepLines w:val="0"/>
        <w:pageBreakBefore w:val="0"/>
        <w:kinsoku/>
        <w:overflowPunct/>
        <w:topLinePunct w:val="0"/>
        <w:bidi w:val="0"/>
        <w:spacing w:line="580" w:lineRule="exact"/>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bidi w:val="0"/>
        <w:spacing w:line="580" w:lineRule="exact"/>
        <w:textAlignment w:val="auto"/>
        <w:rPr>
          <w:rFonts w:ascii="宋体"/>
          <w:b/>
          <w:bCs/>
          <w:sz w:val="24"/>
          <w:szCs w:val="24"/>
        </w:rPr>
        <w:sectPr>
          <w:pgSz w:w="11906" w:h="16838"/>
          <w:pgMar w:top="1560" w:right="1800" w:bottom="1440" w:left="1800" w:header="851" w:footer="657" w:gutter="0"/>
          <w:pgNumType w:fmt="decimal"/>
          <w:cols w:space="425" w:num="1"/>
          <w:docGrid w:type="lines" w:linePitch="312" w:charSpace="0"/>
        </w:sectPr>
      </w:pPr>
    </w:p>
    <w:p>
      <w:pPr>
        <w:keepNext w:val="0"/>
        <w:keepLines w:val="0"/>
        <w:pageBreakBefore w:val="0"/>
        <w:kinsoku/>
        <w:wordWrap/>
        <w:overflowPunct/>
        <w:topLinePunct w:val="0"/>
        <w:bidi w:val="0"/>
        <w:spacing w:line="580" w:lineRule="exact"/>
        <w:textAlignment w:val="auto"/>
        <w:rPr>
          <w:rFonts w:hint="eastAsia" w:ascii="宋体"/>
          <w:b/>
          <w:bCs/>
          <w:sz w:val="24"/>
          <w:szCs w:val="24"/>
        </w:rPr>
      </w:pPr>
      <w:r>
        <w:rPr>
          <w:rFonts w:ascii="宋体"/>
          <w:b/>
          <w:bCs/>
          <w:sz w:val="24"/>
          <w:szCs w:val="24"/>
        </w:rPr>
        <w:t>附件</w:t>
      </w:r>
      <w:r>
        <w:rPr>
          <w:rFonts w:hint="eastAsia" w:ascii="宋体"/>
          <w:b/>
          <w:bCs/>
          <w:sz w:val="24"/>
          <w:szCs w:val="24"/>
          <w:lang w:val="en-US" w:eastAsia="zh-CN"/>
        </w:rPr>
        <w:t>2</w:t>
      </w:r>
    </w:p>
    <w:p>
      <w:pPr>
        <w:keepNext w:val="0"/>
        <w:keepLines w:val="0"/>
        <w:pageBreakBefore w:val="0"/>
        <w:widowControl w:val="0"/>
        <w:kinsoku/>
        <w:wordWrap/>
        <w:overflowPunct/>
        <w:topLinePunct w:val="0"/>
        <w:bidi w:val="0"/>
        <w:snapToGrid w:val="0"/>
        <w:spacing w:line="580" w:lineRule="exact"/>
        <w:jc w:val="center"/>
        <w:textAlignment w:val="auto"/>
        <w:rPr>
          <w:rFonts w:hint="eastAsia" w:ascii="方正小标宋_GBK" w:hAnsi="方正小标宋_GBK" w:eastAsia="方正小标宋_GBK" w:cs="方正小标宋_GBK"/>
          <w:kern w:val="2"/>
          <w:sz w:val="44"/>
          <w:szCs w:val="44"/>
          <w:lang w:val="zh-CN" w:eastAsia="zh-CN" w:bidi="ar-SA"/>
        </w:rPr>
      </w:pPr>
      <w:r>
        <w:rPr>
          <w:rFonts w:hint="eastAsia" w:ascii="方正小标宋_GBK" w:hAnsi="方正小标宋_GBK" w:eastAsia="方正小标宋_GBK" w:cs="方正小标宋_GBK"/>
          <w:kern w:val="2"/>
          <w:sz w:val="44"/>
          <w:szCs w:val="44"/>
          <w:lang w:val="zh-CN" w:eastAsia="zh-CN" w:bidi="ar-SA"/>
        </w:rPr>
        <w:t>磋商响应报价表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75" w:afterAutospacing="0" w:line="580" w:lineRule="exact"/>
        <w:ind w:left="0" w:right="0" w:firstLine="42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rPr>
        <w:t>项目名称：</w:t>
      </w:r>
      <w:r>
        <w:rPr>
          <w:rFonts w:hint="eastAsia" w:ascii="方正仿宋_GBK" w:hAnsi="方正仿宋_GBK" w:eastAsia="方正仿宋_GBK" w:cs="方正仿宋_GBK"/>
          <w:i w:val="0"/>
          <w:iCs w:val="0"/>
          <w:caps w:val="0"/>
          <w:color w:val="333333"/>
          <w:spacing w:val="0"/>
          <w:sz w:val="28"/>
          <w:szCs w:val="28"/>
          <w:shd w:val="clear" w:fill="FFFFFF"/>
          <w:lang w:val="en-US" w:eastAsia="zh-CN"/>
        </w:rPr>
        <w:t>南通市数据局局机关、政务服务大厅信息化设备及网络运维服务项目</w:t>
      </w:r>
    </w:p>
    <w:tbl>
      <w:tblPr>
        <w:tblStyle w:val="13"/>
        <w:tblW w:w="8854" w:type="dxa"/>
        <w:tblCellSpacing w:w="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6"/>
        <w:gridCol w:w="1290"/>
        <w:gridCol w:w="5183"/>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序号</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报价轮次</w:t>
            </w:r>
          </w:p>
        </w:tc>
        <w:tc>
          <w:tcPr>
            <w:tcW w:w="518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报价</w:t>
            </w:r>
          </w:p>
        </w:tc>
        <w:tc>
          <w:tcPr>
            <w:tcW w:w="16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i w:val="0"/>
                <w:iCs w:val="0"/>
                <w:caps w:val="0"/>
                <w:color w:val="333333"/>
                <w:spacing w:val="0"/>
                <w:sz w:val="28"/>
                <w:szCs w:val="28"/>
                <w:lang w:val="en-US" w:eastAsia="zh-CN"/>
              </w:rPr>
              <w:t>投标</w:t>
            </w:r>
            <w:r>
              <w:rPr>
                <w:rFonts w:hint="eastAsia" w:ascii="方正仿宋_GBK" w:hAnsi="方正仿宋_GBK" w:eastAsia="方正仿宋_GBK" w:cs="方正仿宋_GBK"/>
                <w:i w:val="0"/>
                <w:iCs w:val="0"/>
                <w:caps w:val="0"/>
                <w:color w:val="333333"/>
                <w:spacing w:val="0"/>
                <w:sz w:val="28"/>
                <w:szCs w:val="28"/>
              </w:rPr>
              <w:t>人</w:t>
            </w:r>
            <w:r>
              <w:rPr>
                <w:rFonts w:hint="eastAsia" w:ascii="方正仿宋_GBK" w:hAnsi="方正仿宋_GBK" w:eastAsia="方正仿宋_GBK" w:cs="方正仿宋_GBK"/>
                <w:i w:val="0"/>
                <w:iCs w:val="0"/>
                <w:caps w:val="0"/>
                <w:color w:val="333333"/>
                <w:spacing w:val="0"/>
                <w:sz w:val="28"/>
                <w:szCs w:val="28"/>
                <w:lang w:val="en-US" w:eastAsia="zh-CN"/>
              </w:rPr>
              <w:t>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1</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首次</w:t>
            </w:r>
          </w:p>
        </w:tc>
        <w:tc>
          <w:tcPr>
            <w:tcW w:w="518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大写（人民币）：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小写（￥）：</w:t>
            </w:r>
          </w:p>
        </w:tc>
        <w:tc>
          <w:tcPr>
            <w:tcW w:w="166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0" w:beforeAutospacing="0" w:after="0" w:afterAutospacing="0" w:line="580" w:lineRule="exact"/>
              <w:ind w:left="0" w:right="0" w:firstLine="0"/>
              <w:jc w:val="left"/>
              <w:textAlignment w:val="auto"/>
              <w:rPr>
                <w:rFonts w:hint="eastAsia" w:ascii="方正仿宋_GBK" w:hAnsi="方正仿宋_GBK" w:eastAsia="方正仿宋_GBK" w:cs="方正仿宋_GBK"/>
                <w:i w:val="0"/>
                <w:iCs w:val="0"/>
                <w:caps w:val="0"/>
                <w:color w:val="333333"/>
                <w:spacing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63" w:hRule="atLeast"/>
          <w:tblCellSpacing w:w="0" w:type="dxa"/>
        </w:trPr>
        <w:tc>
          <w:tcPr>
            <w:tcW w:w="716"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2</w:t>
            </w:r>
          </w:p>
        </w:tc>
        <w:tc>
          <w:tcPr>
            <w:tcW w:w="1290"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第二次</w:t>
            </w:r>
          </w:p>
        </w:tc>
        <w:tc>
          <w:tcPr>
            <w:tcW w:w="5183"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333333"/>
                <w:spacing w:val="0"/>
                <w:sz w:val="28"/>
                <w:szCs w:val="28"/>
              </w:rPr>
              <w:t>大写（人民币）：</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pacing w:before="0" w:beforeAutospacing="0" w:after="75" w:afterAutospacing="0" w:line="580" w:lineRule="exact"/>
              <w:ind w:right="0"/>
              <w:jc w:val="left"/>
              <w:textAlignment w:val="auto"/>
              <w:rPr>
                <w:rFonts w:hint="default" w:ascii="方正仿宋_GBK" w:hAnsi="方正仿宋_GBK" w:eastAsia="方正仿宋_GBK" w:cs="方正仿宋_GBK"/>
                <w:i w:val="0"/>
                <w:iCs w:val="0"/>
                <w:caps w:val="0"/>
                <w:color w:val="333333"/>
                <w:spacing w:val="0"/>
                <w:sz w:val="28"/>
                <w:szCs w:val="28"/>
                <w:lang w:val="en-US" w:eastAsia="zh-CN"/>
              </w:rPr>
            </w:pPr>
            <w:r>
              <w:rPr>
                <w:rFonts w:hint="eastAsia" w:ascii="方正仿宋_GBK" w:hAnsi="方正仿宋_GBK" w:eastAsia="方正仿宋_GBK" w:cs="方正仿宋_GBK"/>
                <w:i w:val="0"/>
                <w:iCs w:val="0"/>
                <w:caps w:val="0"/>
                <w:color w:val="333333"/>
                <w:spacing w:val="0"/>
                <w:sz w:val="28"/>
                <w:szCs w:val="28"/>
              </w:rPr>
              <w:t>小写（￥）：</w:t>
            </w:r>
          </w:p>
        </w:tc>
        <w:tc>
          <w:tcPr>
            <w:tcW w:w="1665"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pageBreakBefore w:val="0"/>
              <w:widowControl/>
              <w:suppressLineNumbers w:val="0"/>
              <w:kinsoku/>
              <w:wordWrap w:val="0"/>
              <w:overflowPunct/>
              <w:topLinePunct w:val="0"/>
              <w:bidi w:val="0"/>
              <w:spacing w:before="0" w:beforeAutospacing="0" w:after="0" w:afterAutospacing="0" w:line="580" w:lineRule="exact"/>
              <w:ind w:left="0" w:right="0" w:firstLine="0"/>
              <w:jc w:val="left"/>
              <w:textAlignment w:val="auto"/>
              <w:rPr>
                <w:rFonts w:hint="eastAsia" w:ascii="方正仿宋_GBK" w:hAnsi="方正仿宋_GBK" w:eastAsia="方正仿宋_GBK" w:cs="方正仿宋_GBK"/>
                <w:i w:val="0"/>
                <w:iCs w:val="0"/>
                <w:caps w:val="0"/>
                <w:color w:val="333333"/>
                <w:spacing w:val="0"/>
                <w:sz w:val="28"/>
                <w:szCs w:val="28"/>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75" w:afterAutospacing="0" w:line="580" w:lineRule="exact"/>
        <w:ind w:left="0" w:right="0" w:firstLine="420"/>
        <w:jc w:val="left"/>
        <w:textAlignment w:val="auto"/>
        <w:rPr>
          <w:rFonts w:hint="eastAsia" w:ascii="方正仿宋_GBK" w:hAnsi="方正仿宋_GBK" w:eastAsia="方正仿宋_GBK" w:cs="方正仿宋_GBK"/>
          <w:i w:val="0"/>
          <w:iCs w:val="0"/>
          <w:caps w:val="0"/>
          <w:color w:val="333333"/>
          <w:spacing w:val="0"/>
          <w:sz w:val="28"/>
          <w:szCs w:val="28"/>
          <w:shd w:val="clear" w:fill="FFFFFF"/>
          <w:lang w:val="en-US"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75" w:afterAutospacing="0" w:line="580" w:lineRule="exact"/>
        <w:ind w:left="0" w:right="0" w:firstLine="420"/>
        <w:jc w:val="left"/>
        <w:textAlignment w:val="auto"/>
        <w:rPr>
          <w:rFonts w:hint="eastAsia" w:ascii="方正仿宋_GBK" w:hAnsi="方正仿宋_GBK" w:eastAsia="方正仿宋_GBK" w:cs="方正仿宋_GBK"/>
          <w:i w:val="0"/>
          <w:iCs w:val="0"/>
          <w:caps w:val="0"/>
          <w:color w:val="333333"/>
          <w:spacing w:val="0"/>
          <w:sz w:val="28"/>
          <w:szCs w:val="28"/>
        </w:rPr>
      </w:pPr>
      <w:r>
        <w:rPr>
          <w:rFonts w:hint="eastAsia" w:ascii="方正仿宋_GBK" w:hAnsi="方正仿宋_GBK" w:eastAsia="方正仿宋_GBK" w:cs="方正仿宋_GBK"/>
          <w:i w:val="0"/>
          <w:iCs w:val="0"/>
          <w:caps w:val="0"/>
          <w:color w:val="333333"/>
          <w:spacing w:val="0"/>
          <w:sz w:val="28"/>
          <w:szCs w:val="28"/>
          <w:shd w:val="clear" w:fill="FFFFFF"/>
          <w:lang w:val="en-US" w:eastAsia="zh-CN"/>
        </w:rPr>
        <w:t>投标单位</w:t>
      </w:r>
      <w:r>
        <w:rPr>
          <w:rFonts w:hint="eastAsia" w:ascii="方正仿宋_GBK" w:hAnsi="方正仿宋_GBK" w:eastAsia="方正仿宋_GBK" w:cs="方正仿宋_GBK"/>
          <w:i w:val="0"/>
          <w:iCs w:val="0"/>
          <w:caps w:val="0"/>
          <w:color w:val="333333"/>
          <w:spacing w:val="0"/>
          <w:sz w:val="28"/>
          <w:szCs w:val="28"/>
          <w:shd w:val="clear" w:fill="FFFFFF"/>
        </w:rPr>
        <w:t>：（盖章）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75" w:afterAutospacing="0" w:line="580" w:lineRule="exact"/>
        <w:ind w:left="0" w:right="0" w:firstLine="420"/>
        <w:jc w:val="left"/>
        <w:textAlignment w:val="auto"/>
        <w:rPr>
          <w:rFonts w:hint="eastAsia" w:ascii="微软雅黑" w:hAnsi="微软雅黑" w:eastAsia="微软雅黑" w:cs="微软雅黑"/>
          <w:i w:val="0"/>
          <w:iCs w:val="0"/>
          <w:caps w:val="0"/>
          <w:color w:val="333333"/>
          <w:spacing w:val="0"/>
          <w:sz w:val="27"/>
          <w:szCs w:val="27"/>
          <w:shd w:val="clear" w:fill="FFFFFF"/>
        </w:rPr>
      </w:pPr>
      <w:r>
        <w:rPr>
          <w:rFonts w:hint="eastAsia" w:ascii="方正仿宋_GBK" w:hAnsi="方正仿宋_GBK" w:eastAsia="方正仿宋_GBK" w:cs="方正仿宋_GBK"/>
          <w:i w:val="0"/>
          <w:iCs w:val="0"/>
          <w:caps w:val="0"/>
          <w:color w:val="333333"/>
          <w:spacing w:val="0"/>
          <w:sz w:val="28"/>
          <w:szCs w:val="28"/>
          <w:shd w:val="clear" w:fill="FFFFFF"/>
        </w:rPr>
        <w:t>日</w:t>
      </w:r>
      <w:r>
        <w:rPr>
          <w:rFonts w:hint="eastAsia" w:ascii="方正仿宋_GBK" w:hAnsi="方正仿宋_GBK" w:eastAsia="方正仿宋_GBK" w:cs="方正仿宋_GBK"/>
          <w:i w:val="0"/>
          <w:iCs w:val="0"/>
          <w:caps w:val="0"/>
          <w:color w:val="333333"/>
          <w:spacing w:val="0"/>
          <w:sz w:val="28"/>
          <w:szCs w:val="28"/>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28"/>
          <w:szCs w:val="28"/>
          <w:shd w:val="clear" w:fill="FFFFFF"/>
        </w:rPr>
        <w:t>期：</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spacing w:before="0" w:beforeAutospacing="0" w:after="75" w:afterAutospacing="0" w:line="580" w:lineRule="exact"/>
        <w:ind w:left="0" w:right="0" w:firstLine="420"/>
        <w:jc w:val="left"/>
        <w:textAlignment w:val="auto"/>
        <w:rPr>
          <w:rFonts w:hint="default" w:ascii="方正仿宋_GBK" w:hAnsi="方正仿宋_GBK" w:eastAsia="方正仿宋_GBK" w:cs="方正仿宋_GBK"/>
          <w:i w:val="0"/>
          <w:iCs w:val="0"/>
          <w:caps w:val="0"/>
          <w:color w:val="333333"/>
          <w:spacing w:val="0"/>
          <w:sz w:val="28"/>
          <w:szCs w:val="28"/>
          <w:shd w:val="clear" w:fill="FFFFFF"/>
          <w:lang w:val="en-US" w:eastAsia="zh-CN"/>
        </w:rPr>
      </w:pPr>
      <w:r>
        <w:rPr>
          <w:rFonts w:hint="eastAsia" w:ascii="方正仿宋_GBK" w:hAnsi="方正仿宋_GBK" w:eastAsia="方正仿宋_GBK" w:cs="方正仿宋_GBK"/>
          <w:i w:val="0"/>
          <w:iCs w:val="0"/>
          <w:caps w:val="0"/>
          <w:color w:val="333333"/>
          <w:spacing w:val="0"/>
          <w:sz w:val="28"/>
          <w:szCs w:val="28"/>
          <w:shd w:val="clear" w:fill="FFFFFF"/>
          <w:lang w:val="en-US" w:eastAsia="zh-CN"/>
        </w:rPr>
        <w:t>注：第二次报价在开标现场填写，磋商响应文件密封提交时只需填写首次磋商报价。</w:t>
      </w:r>
    </w:p>
    <w:sectPr>
      <w:footerReference r:id="rId4" w:type="default"/>
      <w:pgSz w:w="11906" w:h="16838"/>
      <w:pgMar w:top="1560" w:right="1800" w:bottom="1440" w:left="1800" w:header="851" w:footer="65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1"/>
        <w:szCs w:val="21"/>
      </w:rPr>
      <w:id w:val="980586938"/>
      <w:docPartObj>
        <w:docPartGallery w:val="autotext"/>
      </w:docPartObj>
    </w:sdtPr>
    <w:sdtEndPr>
      <w:rPr>
        <w:rFonts w:asciiTheme="minorEastAsia" w:hAnsiTheme="minorEastAsia"/>
        <w:sz w:val="21"/>
        <w:szCs w:val="21"/>
      </w:rPr>
    </w:sdtEndPr>
    <w:sdtContent>
      <w:p>
        <w:pPr>
          <w:pStyle w:val="7"/>
          <w:jc w:val="center"/>
          <w:rPr>
            <w:rFonts w:asciiTheme="minorEastAsia" w:hAnsiTheme="minorEastAsia"/>
            <w:sz w:val="21"/>
            <w:szCs w:val="21"/>
          </w:rPr>
        </w:pPr>
        <w:r>
          <w:rPr>
            <w:rFonts w:asciiTheme="minorEastAsia" w:hAnsiTheme="minorEastAsia"/>
            <w:sz w:val="21"/>
            <w:szCs w:val="21"/>
          </w:rPr>
          <w:fldChar w:fldCharType="begin"/>
        </w:r>
        <w:r>
          <w:rPr>
            <w:rFonts w:asciiTheme="minorEastAsia" w:hAnsiTheme="minorEastAsia"/>
            <w:sz w:val="21"/>
            <w:szCs w:val="21"/>
          </w:rPr>
          <w:instrText xml:space="preserve"> PAGE   \* MERGEFORMAT </w:instrText>
        </w:r>
        <w:r>
          <w:rPr>
            <w:rFonts w:asciiTheme="minorEastAsia" w:hAnsiTheme="minorEastAsia"/>
            <w:sz w:val="21"/>
            <w:szCs w:val="21"/>
          </w:rPr>
          <w:fldChar w:fldCharType="separate"/>
        </w:r>
        <w:r>
          <w:rPr>
            <w:rFonts w:asciiTheme="minorEastAsia" w:hAnsiTheme="minorEastAsia"/>
            <w:sz w:val="21"/>
            <w:szCs w:val="21"/>
            <w:lang w:val="zh-CN"/>
          </w:rPr>
          <w:t>1</w:t>
        </w:r>
        <w:r>
          <w:rPr>
            <w:rFonts w:asciiTheme="minorEastAsia" w:hAnsiTheme="minorEastAsia"/>
            <w:sz w:val="21"/>
            <w:szCs w:val="21"/>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B8F3E"/>
    <w:multiLevelType w:val="singleLevel"/>
    <w:tmpl w:val="C5CB8F3E"/>
    <w:lvl w:ilvl="0" w:tentative="0">
      <w:start w:val="1"/>
      <w:numFmt w:val="decimal"/>
      <w:suff w:val="space"/>
      <w:lvlText w:val="%1."/>
      <w:lvlJc w:val="left"/>
      <w:rPr>
        <w:rFonts w:hint="default" w:ascii="Times New Roman" w:hAnsi="Times New Roman" w:cs="Times New Roman"/>
      </w:rPr>
    </w:lvl>
  </w:abstractNum>
  <w:abstractNum w:abstractNumId="1">
    <w:nsid w:val="3E102F54"/>
    <w:multiLevelType w:val="multilevel"/>
    <w:tmpl w:val="3E102F54"/>
    <w:lvl w:ilvl="0" w:tentative="0">
      <w:start w:val="1"/>
      <w:numFmt w:val="decimal"/>
      <w:lvlText w:val="%1"/>
      <w:lvlJc w:val="left"/>
      <w:pPr>
        <w:ind w:left="425" w:hanging="425"/>
      </w:pPr>
      <w:rPr>
        <w:rFonts w:hint="eastAsia"/>
      </w:rPr>
    </w:lvl>
    <w:lvl w:ilvl="1" w:tentative="0">
      <w:start w:val="1"/>
      <w:numFmt w:val="chineseCountingThousand"/>
      <w:lvlText w:val="%2、"/>
      <w:lvlJc w:val="left"/>
      <w:pPr>
        <w:ind w:left="0" w:firstLine="0"/>
      </w:pPr>
      <w:rPr>
        <w:rFonts w:hint="eastAsia"/>
        <w:i w:val="0"/>
        <w:iCs w:val="0"/>
        <w:caps w:val="0"/>
        <w:smallCaps w:val="0"/>
        <w:strike w:val="0"/>
        <w:dstrike w:val="0"/>
        <w:vanish w:val="0"/>
        <w:spacing w:val="0"/>
        <w:position w:val="0"/>
        <w:u w:val="none"/>
        <w:vertAlign w:val="baseline"/>
      </w:rPr>
    </w:lvl>
    <w:lvl w:ilvl="2" w:tentative="0">
      <w:start w:val="1"/>
      <w:numFmt w:val="decimal"/>
      <w:pStyle w:val="2"/>
      <w:suff w:val="space"/>
      <w:lvlText w:val="%3、"/>
      <w:lvlJc w:val="left"/>
      <w:pPr>
        <w:ind w:left="0" w:firstLine="420"/>
      </w:pPr>
      <w:rPr>
        <w:rFonts w:hint="eastAsia"/>
      </w:rPr>
    </w:lvl>
    <w:lvl w:ilvl="3" w:tentative="0">
      <w:start w:val="1"/>
      <w:numFmt w:val="decimal"/>
      <w:pStyle w:val="3"/>
      <w:lvlText w:val="%3.%4、"/>
      <w:lvlJc w:val="left"/>
      <w:pPr>
        <w:ind w:left="0" w:firstLine="42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7FDF954B"/>
    <w:multiLevelType w:val="singleLevel"/>
    <w:tmpl w:val="7FDF954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yZjhlZGRkZDZmY2ViMzQ2MWU3ZTUwYTEzMTQ2MTkifQ=="/>
  </w:docVars>
  <w:rsids>
    <w:rsidRoot w:val="007661A4"/>
    <w:rsid w:val="0003088A"/>
    <w:rsid w:val="00063538"/>
    <w:rsid w:val="00076635"/>
    <w:rsid w:val="000975A2"/>
    <w:rsid w:val="000A44B1"/>
    <w:rsid w:val="00151E3F"/>
    <w:rsid w:val="00155B7B"/>
    <w:rsid w:val="001561C7"/>
    <w:rsid w:val="00157275"/>
    <w:rsid w:val="0016302E"/>
    <w:rsid w:val="001704CA"/>
    <w:rsid w:val="00173619"/>
    <w:rsid w:val="00174E19"/>
    <w:rsid w:val="001A2970"/>
    <w:rsid w:val="001A2B8F"/>
    <w:rsid w:val="002108F4"/>
    <w:rsid w:val="00251CA5"/>
    <w:rsid w:val="002613C4"/>
    <w:rsid w:val="002A3026"/>
    <w:rsid w:val="002B3B40"/>
    <w:rsid w:val="002B47CE"/>
    <w:rsid w:val="002F2018"/>
    <w:rsid w:val="002F620E"/>
    <w:rsid w:val="00311F3E"/>
    <w:rsid w:val="00366189"/>
    <w:rsid w:val="00393CD5"/>
    <w:rsid w:val="003B127A"/>
    <w:rsid w:val="003B50DE"/>
    <w:rsid w:val="003F37DE"/>
    <w:rsid w:val="00425D03"/>
    <w:rsid w:val="00427288"/>
    <w:rsid w:val="004474F9"/>
    <w:rsid w:val="004565E0"/>
    <w:rsid w:val="004822D1"/>
    <w:rsid w:val="00507074"/>
    <w:rsid w:val="00515913"/>
    <w:rsid w:val="005431FF"/>
    <w:rsid w:val="00565C8F"/>
    <w:rsid w:val="005B0960"/>
    <w:rsid w:val="005D40FE"/>
    <w:rsid w:val="005E3342"/>
    <w:rsid w:val="006135A4"/>
    <w:rsid w:val="00643047"/>
    <w:rsid w:val="00652BF8"/>
    <w:rsid w:val="006A381D"/>
    <w:rsid w:val="006C071D"/>
    <w:rsid w:val="006C7F22"/>
    <w:rsid w:val="00701AC2"/>
    <w:rsid w:val="00720CCB"/>
    <w:rsid w:val="00736852"/>
    <w:rsid w:val="007463DF"/>
    <w:rsid w:val="007661A4"/>
    <w:rsid w:val="0076673B"/>
    <w:rsid w:val="007759E6"/>
    <w:rsid w:val="00784AB2"/>
    <w:rsid w:val="007C5A5D"/>
    <w:rsid w:val="007C6A1D"/>
    <w:rsid w:val="008005E6"/>
    <w:rsid w:val="00822A80"/>
    <w:rsid w:val="008A3513"/>
    <w:rsid w:val="008A651A"/>
    <w:rsid w:val="008D1B33"/>
    <w:rsid w:val="008D5553"/>
    <w:rsid w:val="00900BB9"/>
    <w:rsid w:val="00901E27"/>
    <w:rsid w:val="009178CB"/>
    <w:rsid w:val="00933662"/>
    <w:rsid w:val="00955618"/>
    <w:rsid w:val="009C2248"/>
    <w:rsid w:val="009E10D1"/>
    <w:rsid w:val="00A109D3"/>
    <w:rsid w:val="00A13AD3"/>
    <w:rsid w:val="00A34BAA"/>
    <w:rsid w:val="00A72772"/>
    <w:rsid w:val="00A85B96"/>
    <w:rsid w:val="00A93B25"/>
    <w:rsid w:val="00AE1C1A"/>
    <w:rsid w:val="00B01487"/>
    <w:rsid w:val="00B024BA"/>
    <w:rsid w:val="00B62395"/>
    <w:rsid w:val="00B76C3D"/>
    <w:rsid w:val="00B92DB9"/>
    <w:rsid w:val="00BC571A"/>
    <w:rsid w:val="00C131BF"/>
    <w:rsid w:val="00C33214"/>
    <w:rsid w:val="00C42D66"/>
    <w:rsid w:val="00C63127"/>
    <w:rsid w:val="00CA3887"/>
    <w:rsid w:val="00CC2FD4"/>
    <w:rsid w:val="00D14A58"/>
    <w:rsid w:val="00D17BEF"/>
    <w:rsid w:val="00D20E99"/>
    <w:rsid w:val="00D7523F"/>
    <w:rsid w:val="00DF5845"/>
    <w:rsid w:val="00E4379C"/>
    <w:rsid w:val="00E469A8"/>
    <w:rsid w:val="00E86183"/>
    <w:rsid w:val="00EA2FC9"/>
    <w:rsid w:val="00ED5B24"/>
    <w:rsid w:val="00EF3862"/>
    <w:rsid w:val="00F12234"/>
    <w:rsid w:val="00F30DEC"/>
    <w:rsid w:val="00FA329E"/>
    <w:rsid w:val="00FA4C70"/>
    <w:rsid w:val="012E59E9"/>
    <w:rsid w:val="03550A49"/>
    <w:rsid w:val="036E33F9"/>
    <w:rsid w:val="05183103"/>
    <w:rsid w:val="05A85A82"/>
    <w:rsid w:val="0B815649"/>
    <w:rsid w:val="0C5A30C0"/>
    <w:rsid w:val="0FE97C61"/>
    <w:rsid w:val="16FA3937"/>
    <w:rsid w:val="189967EB"/>
    <w:rsid w:val="1F4B1D93"/>
    <w:rsid w:val="2421237C"/>
    <w:rsid w:val="263D2305"/>
    <w:rsid w:val="2BFF468C"/>
    <w:rsid w:val="2C247228"/>
    <w:rsid w:val="2F5D6A77"/>
    <w:rsid w:val="30E1450B"/>
    <w:rsid w:val="31BC0BA2"/>
    <w:rsid w:val="3618760C"/>
    <w:rsid w:val="399500F9"/>
    <w:rsid w:val="3CBC4404"/>
    <w:rsid w:val="3E466D74"/>
    <w:rsid w:val="41753901"/>
    <w:rsid w:val="4379031E"/>
    <w:rsid w:val="43AC64C9"/>
    <w:rsid w:val="46367DBF"/>
    <w:rsid w:val="465E0EE8"/>
    <w:rsid w:val="481B66FC"/>
    <w:rsid w:val="4A32626C"/>
    <w:rsid w:val="4B170BB7"/>
    <w:rsid w:val="4B392B62"/>
    <w:rsid w:val="4D3C7046"/>
    <w:rsid w:val="4D86770C"/>
    <w:rsid w:val="4E6B74B7"/>
    <w:rsid w:val="4F874A89"/>
    <w:rsid w:val="4FB73F54"/>
    <w:rsid w:val="50A41111"/>
    <w:rsid w:val="535228C7"/>
    <w:rsid w:val="552159DD"/>
    <w:rsid w:val="56686E91"/>
    <w:rsid w:val="57DE53EC"/>
    <w:rsid w:val="5A4B2513"/>
    <w:rsid w:val="5AB078E9"/>
    <w:rsid w:val="5B501CFC"/>
    <w:rsid w:val="5EDD4798"/>
    <w:rsid w:val="5F357F6A"/>
    <w:rsid w:val="5F7259A6"/>
    <w:rsid w:val="6022379A"/>
    <w:rsid w:val="608F0419"/>
    <w:rsid w:val="60C912DE"/>
    <w:rsid w:val="60F15F42"/>
    <w:rsid w:val="61081953"/>
    <w:rsid w:val="61756C12"/>
    <w:rsid w:val="618159FF"/>
    <w:rsid w:val="650622F3"/>
    <w:rsid w:val="65A00F55"/>
    <w:rsid w:val="67E1286C"/>
    <w:rsid w:val="68696AB2"/>
    <w:rsid w:val="6B2140DF"/>
    <w:rsid w:val="6D023D42"/>
    <w:rsid w:val="6D237A38"/>
    <w:rsid w:val="6DAFFE72"/>
    <w:rsid w:val="707F5C44"/>
    <w:rsid w:val="714E0847"/>
    <w:rsid w:val="72852DE6"/>
    <w:rsid w:val="749113CE"/>
    <w:rsid w:val="7664687C"/>
    <w:rsid w:val="7B7F2766"/>
    <w:rsid w:val="7BCB7664"/>
    <w:rsid w:val="7F264BB1"/>
    <w:rsid w:val="7FE54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numPr>
        <w:ilvl w:val="2"/>
        <w:numId w:val="1"/>
      </w:numPr>
      <w:spacing w:before="100" w:after="100"/>
      <w:ind w:firstLineChars="200"/>
      <w:outlineLvl w:val="2"/>
    </w:pPr>
    <w:rPr>
      <w:rFonts w:eastAsia="仿宋"/>
      <w:b/>
      <w:bCs/>
      <w:sz w:val="28"/>
      <w:szCs w:val="32"/>
    </w:rPr>
  </w:style>
  <w:style w:type="paragraph" w:styleId="3">
    <w:name w:val="heading 4"/>
    <w:basedOn w:val="1"/>
    <w:next w:val="1"/>
    <w:unhideWhenUsed/>
    <w:qFormat/>
    <w:uiPriority w:val="0"/>
    <w:pPr>
      <w:keepNext/>
      <w:keepLines/>
      <w:numPr>
        <w:ilvl w:val="3"/>
        <w:numId w:val="1"/>
      </w:numPr>
      <w:spacing w:before="40" w:after="40"/>
      <w:ind w:firstLine="200" w:firstLineChars="200"/>
      <w:outlineLvl w:val="3"/>
    </w:pPr>
    <w:rPr>
      <w:rFonts w:eastAsia="仿宋" w:asciiTheme="majorHAnsi" w:hAnsiTheme="majorHAnsi"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semiHidden/>
    <w:unhideWhenUsed/>
    <w:qFormat/>
    <w:uiPriority w:val="99"/>
    <w:pPr>
      <w:spacing w:after="120"/>
      <w:ind w:left="420" w:leftChars="200"/>
    </w:pPr>
  </w:style>
  <w:style w:type="paragraph" w:styleId="5">
    <w:name w:val="Block Text"/>
    <w:basedOn w:val="1"/>
    <w:qFormat/>
    <w:uiPriority w:val="99"/>
    <w:pPr>
      <w:spacing w:after="120"/>
      <w:ind w:left="1440" w:leftChars="700" w:right="700" w:rightChars="7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envelope return"/>
    <w:basedOn w:val="1"/>
    <w:unhideWhenUsed/>
    <w:qFormat/>
    <w:uiPriority w:val="99"/>
    <w:pPr>
      <w:snapToGrid w:val="0"/>
    </w:pPr>
    <w:rPr>
      <w:rFonts w:ascii="Arial" w:hAnsi="Arial"/>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basedOn w:val="1"/>
    <w:next w:val="1"/>
    <w:qFormat/>
    <w:uiPriority w:val="0"/>
    <w:pPr>
      <w:spacing w:before="200" w:after="400"/>
      <w:jc w:val="center"/>
      <w:outlineLvl w:val="0"/>
    </w:pPr>
    <w:rPr>
      <w:rFonts w:eastAsia="仿宋" w:asciiTheme="majorHAnsi" w:hAnsiTheme="majorHAnsi" w:cstheme="majorBidi"/>
      <w:b/>
      <w:bCs/>
      <w:sz w:val="44"/>
      <w:szCs w:val="32"/>
    </w:rPr>
  </w:style>
  <w:style w:type="paragraph" w:styleId="12">
    <w:name w:val="Body Text First Indent 2"/>
    <w:basedOn w:val="4"/>
    <w:qFormat/>
    <w:uiPriority w:val="99"/>
    <w:pPr>
      <w:ind w:firstLine="420" w:firstLineChars="200"/>
    </w:pPr>
    <w:rPr>
      <w:sz w:val="32"/>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paragraph" w:customStyle="1" w:styleId="17">
    <w:name w:val="正文1"/>
    <w:basedOn w:val="1"/>
    <w:qFormat/>
    <w:uiPriority w:val="0"/>
    <w:pPr>
      <w:spacing w:line="360" w:lineRule="auto"/>
      <w:ind w:firstLine="361"/>
    </w:pPr>
    <w:rPr>
      <w:rFonts w:ascii="宋体" w:hAnsi="宋体"/>
      <w:szCs w:val="24"/>
    </w:rPr>
  </w:style>
  <w:style w:type="character" w:customStyle="1" w:styleId="18">
    <w:name w:val="页眉 字符"/>
    <w:basedOn w:val="15"/>
    <w:link w:val="9"/>
    <w:semiHidden/>
    <w:qFormat/>
    <w:uiPriority w:val="99"/>
    <w:rPr>
      <w:sz w:val="18"/>
      <w:szCs w:val="18"/>
    </w:rPr>
  </w:style>
  <w:style w:type="character" w:customStyle="1" w:styleId="19">
    <w:name w:val="页脚 字符"/>
    <w:basedOn w:val="15"/>
    <w:link w:val="7"/>
    <w:qFormat/>
    <w:uiPriority w:val="99"/>
    <w:rPr>
      <w:sz w:val="18"/>
      <w:szCs w:val="18"/>
    </w:rPr>
  </w:style>
  <w:style w:type="paragraph" w:customStyle="1" w:styleId="20">
    <w:name w:val="p0"/>
    <w:basedOn w:val="1"/>
    <w:qFormat/>
    <w:uiPriority w:val="0"/>
    <w:pPr>
      <w:widowControl/>
    </w:pPr>
    <w:rPr>
      <w:rFonts w:ascii="Calibri" w:hAnsi="Calibri" w:eastAsia="宋体" w:cs="Calibri"/>
      <w:kern w:val="0"/>
      <w:szCs w:val="21"/>
    </w:rPr>
  </w:style>
  <w:style w:type="character" w:customStyle="1" w:styleId="21">
    <w:name w:val="批注框文本 字符"/>
    <w:basedOn w:val="15"/>
    <w:link w:val="6"/>
    <w:semiHidden/>
    <w:qFormat/>
    <w:uiPriority w:val="99"/>
    <w:rPr>
      <w:sz w:val="18"/>
      <w:szCs w:val="18"/>
    </w:rPr>
  </w:style>
  <w:style w:type="paragraph" w:customStyle="1" w:styleId="22">
    <w:name w:val="标题1"/>
    <w:basedOn w:val="1"/>
    <w:next w:val="1"/>
    <w:qFormat/>
    <w:uiPriority w:val="99"/>
    <w:pPr>
      <w:tabs>
        <w:tab w:val="left" w:pos="9193"/>
        <w:tab w:val="left" w:pos="9827"/>
      </w:tabs>
      <w:autoSpaceDE w:val="0"/>
      <w:autoSpaceDN w:val="0"/>
      <w:snapToGrid w:val="0"/>
      <w:spacing w:line="700" w:lineRule="atLeast"/>
      <w:jc w:val="center"/>
    </w:pPr>
    <w:rPr>
      <w:rFonts w:ascii="方正小标宋_GBK" w:hAnsi="Times New Roman" w:eastAsia="方正小标宋_GBK" w:cs="Times New Roman"/>
      <w:snapToGrid w:val="0"/>
      <w:kern w:val="0"/>
      <w:sz w:val="44"/>
      <w:szCs w:val="20"/>
    </w:rPr>
  </w:style>
  <w:style w:type="paragraph" w:styleId="23">
    <w:name w:val="List Paragraph"/>
    <w:basedOn w:val="1"/>
    <w:qFormat/>
    <w:uiPriority w:val="34"/>
    <w:pPr>
      <w:ind w:firstLine="420" w:firstLineChars="200"/>
    </w:pPr>
  </w:style>
  <w:style w:type="paragraph" w:customStyle="1" w:styleId="24">
    <w:name w:val="内容正文"/>
    <w:basedOn w:val="1"/>
    <w:qFormat/>
    <w:uiPriority w:val="0"/>
    <w:pPr>
      <w:snapToGrid w:val="0"/>
      <w:ind w:firstLine="200" w:firstLineChars="200"/>
      <w:contextualSpacing/>
      <w:jc w:val="left"/>
    </w:pPr>
    <w:rPr>
      <w:rFonts w:ascii="仿宋" w:hAnsi="仿宋" w:eastAsia="仿宋"/>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3876</Words>
  <Characters>4059</Characters>
  <Lines>13</Lines>
  <Paragraphs>3</Paragraphs>
  <TotalTime>50</TotalTime>
  <ScaleCrop>false</ScaleCrop>
  <LinksUpToDate>false</LinksUpToDate>
  <CharactersWithSpaces>4244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2021-04-23T10:16:00Z</dcterms:created>
  <dc:creator>USER</dc:creator>
  <cp:lastModifiedBy>thtf</cp:lastModifiedBy>
  <cp:lastPrinted>2021-05-25T14:59:00Z</cp:lastPrinted>
  <dcterms:modified xsi:type="dcterms:W3CDTF">2026-04-14T13:56:04Z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423375864_btnclosed</vt:lpwstr>
  </property>
  <property fmtid="{D5CDD505-2E9C-101B-9397-08002B2CF9AE}" pid="3" name="KSOProductBuildVer">
    <vt:lpwstr>2052-11.8.2.1130</vt:lpwstr>
  </property>
  <property fmtid="{D5CDD505-2E9C-101B-9397-08002B2CF9AE}" pid="4" name="ICV">
    <vt:lpwstr>9A5B67FA44244B43BFD05984D97ABC7A_13</vt:lpwstr>
  </property>
  <property fmtid="{D5CDD505-2E9C-101B-9397-08002B2CF9AE}" pid="5" name="KSOTemplateDocerSaveRecord">
    <vt:lpwstr>eyJoZGlkIjoiMGU3MWZlYmE1ZTI4NDAzZmQ3YzkwZjRmODYzNmZlZTgiLCJ1c2VySWQiOiIxNzI4NDg1NDU3In0=</vt:lpwstr>
  </property>
</Properties>
</file>