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4" w:name="_GoBack"/>
      <w:bookmarkEnd w:id="4"/>
      <w:bookmarkStart w:id="0" w:name="_Hlk70189144"/>
      <w:bookmarkStart w:id="1" w:name="_Hlk70189105"/>
      <w:bookmarkStart w:id="2" w:name="_Hlk70187013"/>
      <w:r>
        <w:rPr>
          <w:rFonts w:hint="eastAsia"/>
          <w:lang w:val="en-US" w:eastAsia="zh-CN"/>
        </w:rPr>
        <w:t>2025年度</w:t>
      </w:r>
      <w:r>
        <w:t>江苏省建筑工程一站式申报系统南通站点</w:t>
      </w:r>
      <w:r>
        <w:rPr>
          <w:rFonts w:hint="eastAsia"/>
        </w:rPr>
        <w:t>运维项目竞争性</w:t>
      </w:r>
      <w:r>
        <w:rPr>
          <w:rFonts w:hint="eastAsia"/>
          <w:lang w:val="en-US" w:eastAsia="zh-CN"/>
        </w:rPr>
        <w:t>磋商</w:t>
      </w:r>
      <w:r>
        <w:rPr>
          <w:rFonts w:hint="eastAsia"/>
        </w:rPr>
        <w:t>采购需求</w:t>
      </w:r>
    </w:p>
    <w:p>
      <w:pPr>
        <w:tabs>
          <w:tab w:val="left" w:pos="5325"/>
        </w:tabs>
        <w:snapToGrid w:val="0"/>
        <w:ind w:firstLine="640"/>
        <w:contextualSpacing/>
        <w:rPr>
          <w:rFonts w:ascii="黑体" w:hAnsi="黑体" w:eastAsia="黑体" w:cs="Times New Roman"/>
          <w:sz w:val="32"/>
          <w:szCs w:val="32"/>
        </w:rPr>
      </w:pPr>
    </w:p>
    <w:p>
      <w:pPr>
        <w:keepNext w:val="0"/>
        <w:keepLines w:val="0"/>
        <w:pageBreakBefore w:val="0"/>
        <w:widowControl w:val="0"/>
        <w:tabs>
          <w:tab w:val="left" w:pos="5325"/>
        </w:tabs>
        <w:kinsoku/>
        <w:wordWrap/>
        <w:overflowPunct/>
        <w:topLinePunct w:val="0"/>
        <w:autoSpaceDE/>
        <w:autoSpaceDN/>
        <w:bidi w:val="0"/>
        <w:adjustRightInd/>
        <w:snapToGrid w:val="0"/>
        <w:spacing w:line="580" w:lineRule="exact"/>
        <w:contextualSpacing/>
        <w:textAlignment w:val="auto"/>
        <w:rPr>
          <w:rFonts w:ascii="黑体" w:hAnsi="黑体" w:eastAsia="黑体" w:cs="Times New Roman"/>
          <w:sz w:val="32"/>
          <w:szCs w:val="32"/>
        </w:rPr>
      </w:pPr>
      <w:r>
        <w:rPr>
          <w:rFonts w:hint="eastAsia" w:ascii="黑体" w:hAnsi="黑体" w:eastAsia="黑体" w:cs="Times New Roman"/>
          <w:sz w:val="32"/>
          <w:szCs w:val="32"/>
        </w:rPr>
        <w:t>一、项目概况</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方正仿宋_GBK" w:hAnsi="方正仿宋_GBK" w:eastAsia="方正仿宋_GBK" w:cs="方正仿宋_GBK"/>
          <w:b w:val="0"/>
          <w:bCs w:val="0"/>
          <w:color w:val="auto"/>
          <w:sz w:val="32"/>
          <w:szCs w:val="32"/>
          <w:highlight w:val="none"/>
          <w:lang w:val="zh-CN"/>
        </w:rPr>
      </w:pPr>
      <w:r>
        <w:rPr>
          <w:rFonts w:hint="eastAsia" w:ascii="方正仿宋_GBK" w:hAnsi="方正仿宋_GBK" w:eastAsia="方正仿宋_GBK" w:cs="方正仿宋_GBK"/>
          <w:b w:val="0"/>
          <w:bCs w:val="0"/>
          <w:color w:val="auto"/>
          <w:sz w:val="32"/>
          <w:szCs w:val="32"/>
          <w:highlight w:val="none"/>
          <w:lang w:val="zh-CN"/>
        </w:rPr>
        <w:t>为了</w:t>
      </w:r>
      <w:r>
        <w:rPr>
          <w:rFonts w:hint="eastAsia" w:ascii="方正仿宋_GBK" w:hAnsi="方正仿宋_GBK" w:eastAsia="方正仿宋_GBK" w:cs="方正仿宋_GBK"/>
          <w:b w:val="0"/>
          <w:bCs w:val="0"/>
          <w:color w:val="auto"/>
          <w:sz w:val="32"/>
          <w:szCs w:val="32"/>
          <w:highlight w:val="none"/>
          <w:lang w:val="en-US" w:eastAsia="zh-CN"/>
        </w:rPr>
        <w:t>保障</w:t>
      </w:r>
      <w:r>
        <w:rPr>
          <w:rFonts w:hint="eastAsia" w:ascii="方正仿宋_GBK" w:hAnsi="方正仿宋_GBK" w:eastAsia="方正仿宋_GBK" w:cs="方正仿宋_GBK"/>
          <w:b w:val="0"/>
          <w:bCs w:val="0"/>
          <w:color w:val="auto"/>
          <w:sz w:val="32"/>
          <w:szCs w:val="32"/>
          <w:highlight w:val="none"/>
          <w:lang w:val="zh-CN"/>
        </w:rPr>
        <w:t>江苏省建筑工程一站式申报系统南通站点</w:t>
      </w:r>
      <w:r>
        <w:rPr>
          <w:rFonts w:hint="eastAsia" w:ascii="方正仿宋_GBK" w:hAnsi="方正仿宋_GBK" w:eastAsia="方正仿宋_GBK" w:cs="方正仿宋_GBK"/>
          <w:b w:val="0"/>
          <w:bCs w:val="0"/>
          <w:color w:val="auto"/>
          <w:sz w:val="32"/>
          <w:szCs w:val="32"/>
          <w:highlight w:val="none"/>
          <w:lang w:val="en-US" w:eastAsia="zh-CN"/>
        </w:rPr>
        <w:t>审图、联合验收、竣工验收备案等功能</w:t>
      </w:r>
      <w:r>
        <w:rPr>
          <w:rFonts w:hint="eastAsia" w:ascii="方正仿宋_GBK" w:hAnsi="方正仿宋_GBK" w:eastAsia="方正仿宋_GBK" w:cs="方正仿宋_GBK"/>
          <w:b w:val="0"/>
          <w:bCs w:val="0"/>
          <w:color w:val="auto"/>
          <w:sz w:val="32"/>
          <w:szCs w:val="32"/>
          <w:highlight w:val="none"/>
          <w:lang w:val="zh-CN"/>
        </w:rPr>
        <w:t>的安全性与稳定性，</w:t>
      </w:r>
      <w:r>
        <w:rPr>
          <w:rFonts w:hint="eastAsia" w:ascii="方正仿宋_GBK" w:hAnsi="方正仿宋_GBK" w:eastAsia="方正仿宋_GBK" w:cs="方正仿宋_GBK"/>
          <w:b w:val="0"/>
          <w:bCs w:val="0"/>
          <w:color w:val="auto"/>
          <w:sz w:val="32"/>
          <w:szCs w:val="32"/>
          <w:highlight w:val="none"/>
          <w:lang w:val="en-US" w:eastAsia="zh-CN"/>
        </w:rPr>
        <w:t>确保市级工程建设项目相关数据的上传及省相关数据的回流，</w:t>
      </w:r>
      <w:r>
        <w:rPr>
          <w:rFonts w:hint="eastAsia" w:ascii="方正仿宋_GBK" w:hAnsi="方正仿宋_GBK" w:eastAsia="方正仿宋_GBK" w:cs="方正仿宋_GBK"/>
          <w:b w:val="0"/>
          <w:bCs w:val="0"/>
          <w:color w:val="auto"/>
          <w:sz w:val="32"/>
          <w:szCs w:val="32"/>
          <w:highlight w:val="none"/>
          <w:lang w:val="zh-CN"/>
        </w:rPr>
        <w:t>现需采购一个专业运维公司提供</w:t>
      </w:r>
      <w:r>
        <w:rPr>
          <w:rFonts w:hint="eastAsia" w:ascii="方正仿宋_GBK" w:hAnsi="方正仿宋_GBK" w:eastAsia="方正仿宋_GBK" w:cs="方正仿宋_GBK"/>
          <w:b w:val="0"/>
          <w:bCs w:val="0"/>
          <w:color w:val="auto"/>
          <w:sz w:val="32"/>
          <w:szCs w:val="32"/>
          <w:highlight w:val="none"/>
        </w:rPr>
        <w:t>远程</w:t>
      </w:r>
      <w:r>
        <w:rPr>
          <w:rFonts w:hint="eastAsia" w:ascii="方正仿宋_GBK" w:hAnsi="方正仿宋_GBK" w:eastAsia="方正仿宋_GBK" w:cs="方正仿宋_GBK"/>
          <w:b w:val="0"/>
          <w:bCs w:val="0"/>
          <w:color w:val="auto"/>
          <w:sz w:val="32"/>
          <w:szCs w:val="32"/>
          <w:highlight w:val="none"/>
          <w:lang w:val="zh-CN"/>
        </w:rPr>
        <w:t>运维服务，并做好各类数据的对接处理上报。</w:t>
      </w:r>
    </w:p>
    <w:p>
      <w:pPr>
        <w:keepNext w:val="0"/>
        <w:keepLines w:val="0"/>
        <w:pageBreakBefore w:val="0"/>
        <w:widowControl w:val="0"/>
        <w:tabs>
          <w:tab w:val="left" w:pos="5325"/>
        </w:tabs>
        <w:kinsoku/>
        <w:wordWrap/>
        <w:overflowPunct/>
        <w:topLinePunct w:val="0"/>
        <w:autoSpaceDE/>
        <w:autoSpaceDN/>
        <w:bidi w:val="0"/>
        <w:adjustRightInd/>
        <w:snapToGrid w:val="0"/>
        <w:spacing w:line="580" w:lineRule="exact"/>
        <w:contextualSpacing/>
        <w:textAlignment w:val="auto"/>
        <w:rPr>
          <w:rFonts w:ascii="黑体" w:hAnsi="黑体" w:eastAsia="黑体" w:cs="Times New Roman"/>
          <w:sz w:val="32"/>
          <w:szCs w:val="32"/>
        </w:rPr>
      </w:pPr>
      <w:r>
        <w:rPr>
          <w:rFonts w:hint="eastAsia" w:ascii="黑体" w:hAnsi="黑体" w:eastAsia="黑体" w:cs="Times New Roman"/>
          <w:sz w:val="32"/>
          <w:szCs w:val="32"/>
        </w:rPr>
        <w:t>二、运维内容</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rPr>
      </w:pPr>
      <w:r>
        <w:rPr>
          <w:rFonts w:hint="default" w:ascii="Times New Roman" w:hAnsi="Times New Roman" w:eastAsia="方正仿宋_GBK" w:cs="Times New Roman"/>
          <w:b w:val="0"/>
          <w:bCs w:val="0"/>
          <w:color w:val="auto"/>
          <w:sz w:val="32"/>
          <w:szCs w:val="32"/>
          <w:highlight w:val="none"/>
          <w:lang w:val="zh-CN"/>
        </w:rPr>
        <w:t>1、保障</w:t>
      </w:r>
      <w:r>
        <w:rPr>
          <w:rFonts w:hint="eastAsia" w:ascii="Times New Roman" w:hAnsi="Times New Roman" w:eastAsia="方正仿宋_GBK" w:cs="Times New Roman"/>
          <w:b w:val="0"/>
          <w:bCs w:val="0"/>
          <w:color w:val="auto"/>
          <w:sz w:val="32"/>
          <w:szCs w:val="32"/>
          <w:highlight w:val="none"/>
          <w:lang w:val="en-US" w:eastAsia="zh-CN"/>
        </w:rPr>
        <w:t>审图、</w:t>
      </w:r>
      <w:r>
        <w:rPr>
          <w:rFonts w:hint="default" w:ascii="Times New Roman" w:hAnsi="Times New Roman" w:eastAsia="方正仿宋_GBK" w:cs="Times New Roman"/>
          <w:b w:val="0"/>
          <w:bCs w:val="0"/>
          <w:color w:val="auto"/>
          <w:sz w:val="32"/>
          <w:szCs w:val="32"/>
          <w:highlight w:val="none"/>
          <w:lang w:val="zh-CN"/>
        </w:rPr>
        <w:t>联合验收和竣工验收备案系统的正常运行；</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rPr>
      </w:pPr>
      <w:r>
        <w:rPr>
          <w:rFonts w:hint="default" w:ascii="Times New Roman" w:hAnsi="Times New Roman" w:eastAsia="方正仿宋_GBK" w:cs="Times New Roman"/>
          <w:b w:val="0"/>
          <w:bCs w:val="0"/>
          <w:color w:val="auto"/>
          <w:sz w:val="32"/>
          <w:szCs w:val="32"/>
          <w:highlight w:val="none"/>
          <w:lang w:val="zh-CN"/>
        </w:rPr>
        <w:t>2、保障工改</w:t>
      </w:r>
      <w:r>
        <w:rPr>
          <w:rFonts w:hint="eastAsia" w:ascii="Times New Roman" w:hAnsi="Times New Roman" w:eastAsia="方正仿宋_GBK" w:cs="Times New Roman"/>
          <w:b w:val="0"/>
          <w:bCs w:val="0"/>
          <w:color w:val="auto"/>
          <w:sz w:val="32"/>
          <w:szCs w:val="32"/>
          <w:highlight w:val="none"/>
          <w:lang w:val="en-US" w:eastAsia="zh-CN"/>
        </w:rPr>
        <w:t>三、</w:t>
      </w:r>
      <w:r>
        <w:rPr>
          <w:rFonts w:hint="default" w:ascii="Times New Roman" w:hAnsi="Times New Roman" w:eastAsia="方正仿宋_GBK" w:cs="Times New Roman"/>
          <w:b w:val="0"/>
          <w:bCs w:val="0"/>
          <w:color w:val="auto"/>
          <w:sz w:val="32"/>
          <w:szCs w:val="32"/>
          <w:highlight w:val="none"/>
          <w:lang w:val="zh-CN"/>
        </w:rPr>
        <w:t>四阶段的申请数据、审批数据的正常实时回流，并反馈到市工程建设项目审批管理系统；</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rPr>
      </w:pPr>
      <w:r>
        <w:rPr>
          <w:rFonts w:hint="default" w:ascii="Times New Roman" w:hAnsi="Times New Roman" w:eastAsia="方正仿宋_GBK" w:cs="Times New Roman"/>
          <w:b w:val="0"/>
          <w:bCs w:val="0"/>
          <w:color w:val="auto"/>
          <w:sz w:val="32"/>
          <w:szCs w:val="32"/>
          <w:highlight w:val="none"/>
          <w:lang w:val="zh-CN"/>
        </w:rPr>
        <w:t>3、保障竣工验收备案的一张表单按省厅下发的标准生成并回流给市工程建设项目审批管理系统；</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rPr>
      </w:pPr>
      <w:r>
        <w:rPr>
          <w:rFonts w:hint="default"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val="zh-CN"/>
        </w:rPr>
        <w:t>、定期进行数据备份，确保数据库安全稳定运行；</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rPr>
      </w:pP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zh-CN"/>
        </w:rPr>
        <w:t>、做好系统整体的安全防护，定期对系统做整体漏洞扫描，及时修复发现的漏洞；</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rPr>
      </w:pPr>
      <w:r>
        <w:rPr>
          <w:rFonts w:hint="default"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zh-CN"/>
        </w:rPr>
        <w:t>、做好临时交办的其他运维工作。</w:t>
      </w:r>
    </w:p>
    <w:p>
      <w:pPr>
        <w:pStyle w:val="21"/>
        <w:keepNext w:val="0"/>
        <w:keepLines w:val="0"/>
        <w:pageBreakBefore w:val="0"/>
        <w:widowControl w:val="0"/>
        <w:tabs>
          <w:tab w:val="left" w:pos="5325"/>
        </w:tabs>
        <w:kinsoku/>
        <w:wordWrap/>
        <w:overflowPunct/>
        <w:topLinePunct w:val="0"/>
        <w:autoSpaceDE/>
        <w:autoSpaceDN/>
        <w:bidi w:val="0"/>
        <w:adjustRightInd/>
        <w:snapToGrid w:val="0"/>
        <w:spacing w:line="580" w:lineRule="exact"/>
        <w:ind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rPr>
        <w:t>三、运维要求</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项目要求1位软件工程师提供整体1年的远程运维服务。运维人员应做好</w:t>
      </w:r>
      <w:r>
        <w:rPr>
          <w:rFonts w:hint="default" w:ascii="Times New Roman" w:hAnsi="Times New Roman" w:eastAsia="方正仿宋_GBK" w:cs="Times New Roman"/>
          <w:b w:val="0"/>
          <w:bCs w:val="0"/>
          <w:color w:val="auto"/>
          <w:sz w:val="32"/>
          <w:szCs w:val="32"/>
          <w:highlight w:val="none"/>
          <w:lang w:val="zh-CN"/>
        </w:rPr>
        <w:t>江苏省建筑工程一站式申报系统南通站点</w:t>
      </w:r>
      <w:r>
        <w:rPr>
          <w:rFonts w:hint="eastAsia" w:ascii="Times New Roman" w:hAnsi="Times New Roman" w:eastAsia="方正仿宋_GBK" w:cs="Times New Roman"/>
          <w:b w:val="0"/>
          <w:bCs w:val="0"/>
          <w:color w:val="auto"/>
          <w:sz w:val="32"/>
          <w:szCs w:val="32"/>
          <w:highlight w:val="none"/>
          <w:lang w:val="zh-CN"/>
        </w:rPr>
        <w:t>的日常巡检，每天对中间件、数据库进行检查，及时排除存在的故障；做好系统的备份工作，每天进行增量备份，每周进行一次全量备份，并定期检查备份情况；做好对审批办件、证照等数据归集报送情况检查，确保与市工改系统的数据对接回流通畅。</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运维人员应保持7×24小时电话开通，如遇系统故障等紧急情况时，应在15分钟内定位系统故障，一般性故障30分钟内解决，如遇复杂故障无法解决时，应启动紧急技术支持服务，由服务供应商技术支撑团队提供紧急支持服务，并在1小时内提出解决方案，4小时内排除故障。</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运维人员需做好安全管理和保密工作，做好临时交办的其他保障任务。</w:t>
      </w:r>
    </w:p>
    <w:p>
      <w:pPr>
        <w:pStyle w:val="21"/>
        <w:keepNext w:val="0"/>
        <w:keepLines w:val="0"/>
        <w:pageBreakBefore w:val="0"/>
        <w:widowControl w:val="0"/>
        <w:tabs>
          <w:tab w:val="left" w:pos="5325"/>
        </w:tabs>
        <w:kinsoku/>
        <w:wordWrap/>
        <w:overflowPunct/>
        <w:topLinePunct w:val="0"/>
        <w:autoSpaceDE/>
        <w:autoSpaceDN/>
        <w:bidi w:val="0"/>
        <w:adjustRightInd/>
        <w:snapToGrid w:val="0"/>
        <w:spacing w:line="580" w:lineRule="exact"/>
        <w:ind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rPr>
        <w:t>四、合同签订</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采购结果公示结束后无异议的在10个工作日内签订合同。</w:t>
      </w:r>
    </w:p>
    <w:p>
      <w:pPr>
        <w:pStyle w:val="21"/>
        <w:keepNext w:val="0"/>
        <w:keepLines w:val="0"/>
        <w:pageBreakBefore w:val="0"/>
        <w:widowControl w:val="0"/>
        <w:tabs>
          <w:tab w:val="left" w:pos="5325"/>
        </w:tabs>
        <w:kinsoku/>
        <w:wordWrap/>
        <w:overflowPunct/>
        <w:topLinePunct w:val="0"/>
        <w:autoSpaceDE/>
        <w:autoSpaceDN/>
        <w:bidi w:val="0"/>
        <w:adjustRightInd/>
        <w:snapToGrid w:val="0"/>
        <w:spacing w:line="580" w:lineRule="exact"/>
        <w:ind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rPr>
        <w:t>五、付款方式</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按照中标价签订合同</w:t>
      </w:r>
      <w:bookmarkEnd w:id="0"/>
      <w:bookmarkEnd w:id="1"/>
      <w:bookmarkEnd w:id="2"/>
      <w:bookmarkStart w:id="3" w:name="_Toc344724549"/>
      <w:r>
        <w:rPr>
          <w:rFonts w:hint="eastAsia" w:ascii="Times New Roman" w:hAnsi="Times New Roman" w:eastAsia="方正仿宋_GBK" w:cs="Times New Roman"/>
          <w:b w:val="0"/>
          <w:bCs w:val="0"/>
          <w:color w:val="auto"/>
          <w:sz w:val="32"/>
          <w:szCs w:val="32"/>
          <w:highlight w:val="none"/>
          <w:lang w:val="zh-CN"/>
        </w:rPr>
        <w:t>，发票送达后15个工作日内支付合同金额的50%；运维服务期满绩效评价通过后支付合同剩余金额。</w:t>
      </w:r>
    </w:p>
    <w:p>
      <w:pPr>
        <w:keepNext w:val="0"/>
        <w:keepLines w:val="0"/>
        <w:pageBreakBefore w:val="0"/>
        <w:widowControl w:val="0"/>
        <w:tabs>
          <w:tab w:val="left" w:pos="5325"/>
        </w:tabs>
        <w:kinsoku/>
        <w:wordWrap/>
        <w:overflowPunct/>
        <w:topLinePunct w:val="0"/>
        <w:autoSpaceDE/>
        <w:autoSpaceDN/>
        <w:bidi w:val="0"/>
        <w:adjustRightInd/>
        <w:snapToGrid w:val="0"/>
        <w:spacing w:line="580" w:lineRule="exact"/>
        <w:contextualSpacing/>
        <w:textAlignment w:val="auto"/>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投标供应商资格要求</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1、符合《中华人民共和国政府采购法》第22条规定；</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2、具有合法经营资格并能承担完全民事责任的独立法人。</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3、未被“信用中国”网站列入失信被执行人、重大税收违法案件当事人名单、政府采购严重失信行为记录名单；</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4、本项目不接受联合体参与，不得转包。</w:t>
      </w:r>
    </w:p>
    <w:p>
      <w:pPr>
        <w:pStyle w:val="21"/>
        <w:keepNext w:val="0"/>
        <w:keepLines w:val="0"/>
        <w:pageBreakBefore w:val="0"/>
        <w:widowControl w:val="0"/>
        <w:tabs>
          <w:tab w:val="left" w:pos="5325"/>
        </w:tabs>
        <w:kinsoku/>
        <w:wordWrap/>
        <w:overflowPunct/>
        <w:topLinePunct w:val="0"/>
        <w:autoSpaceDE/>
        <w:autoSpaceDN/>
        <w:bidi w:val="0"/>
        <w:adjustRightInd/>
        <w:snapToGrid w:val="0"/>
        <w:spacing w:line="580" w:lineRule="exact"/>
        <w:ind w:firstLine="0" w:firstLineChars="0"/>
        <w:contextualSpacing/>
        <w:textAlignment w:val="auto"/>
        <w:rPr>
          <w:rFonts w:ascii="Times New Roman" w:hAnsi="Times New Roman" w:eastAsia="方正仿宋_GBK" w:cs="Times New Roman"/>
          <w:sz w:val="32"/>
          <w:szCs w:val="32"/>
        </w:rPr>
      </w:pPr>
      <w:r>
        <w:rPr>
          <w:rFonts w:hint="eastAsia" w:ascii="黑体" w:hAnsi="黑体" w:eastAsia="黑体" w:cs="Times New Roman"/>
          <w:sz w:val="32"/>
          <w:szCs w:val="32"/>
        </w:rPr>
        <w:t>七、投标文件的组成</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投标文件由商务技术响应文件、价格响应文件两部分组成。</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contextualSpacing/>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w:t>
      </w:r>
      <w:r>
        <w:rPr>
          <w:rFonts w:hint="eastAsia" w:ascii="方正仿宋_GBK" w:hAnsi="方正仿宋_GBK" w:eastAsia="方正仿宋_GBK" w:cs="方正仿宋_GBK"/>
          <w:b/>
          <w:color w:val="000000"/>
          <w:sz w:val="32"/>
          <w:szCs w:val="32"/>
        </w:rPr>
        <w:t>商务技术</w:t>
      </w:r>
      <w:r>
        <w:rPr>
          <w:rFonts w:hint="eastAsia" w:ascii="方正仿宋_GBK" w:hAnsi="方正仿宋_GBK" w:eastAsia="方正仿宋_GBK" w:cs="方正仿宋_GBK"/>
          <w:b/>
          <w:sz w:val="32"/>
          <w:szCs w:val="32"/>
        </w:rPr>
        <w:t>响应文件（</w:t>
      </w:r>
      <w:r>
        <w:rPr>
          <w:rFonts w:hint="eastAsia" w:ascii="方正仿宋_GBK" w:hAnsi="方正仿宋_GBK" w:eastAsia="方正仿宋_GBK" w:cs="方正仿宋_GBK"/>
          <w:b/>
          <w:color w:val="000000"/>
          <w:sz w:val="32"/>
          <w:szCs w:val="32"/>
        </w:rPr>
        <w:t>不得出现报价，</w:t>
      </w:r>
      <w:r>
        <w:rPr>
          <w:rFonts w:hint="eastAsia" w:ascii="方正仿宋_GBK" w:hAnsi="方正仿宋_GBK" w:eastAsia="方正仿宋_GBK" w:cs="方正仿宋_GBK"/>
          <w:b/>
          <w:sz w:val="32"/>
          <w:szCs w:val="32"/>
        </w:rPr>
        <w:t>一正两副，单独密封装订）：</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1、法定代表人参加投标的，提供法定代表人身份证复印件（加盖公章）；授权委托人参加投标的，提供法定代表人授权委托书、法定代表人和授权委托人身份证复印件（加盖公章）；</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2、营业执照复印件（加盖公章）；</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3、信用中国企业信用信息报告（加盖公章）；</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4、投标承诺函（见附件一）；</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5、响应方案，货物（服务）清单。具有项目、数量、品牌、型号、配置性能等；</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6、投标人认为需要提交的其他资料。</w:t>
      </w:r>
    </w:p>
    <w:p>
      <w:pPr>
        <w:pStyle w:val="2"/>
        <w:keepNext w:val="0"/>
        <w:keepLines w:val="0"/>
        <w:pageBreakBefore w:val="0"/>
        <w:widowControl w:val="0"/>
        <w:kinsoku/>
        <w:wordWrap/>
        <w:overflowPunct/>
        <w:topLinePunct w:val="0"/>
        <w:autoSpaceDE/>
        <w:autoSpaceDN/>
        <w:bidi w:val="0"/>
        <w:adjustRightInd/>
        <w:spacing w:after="0" w:line="580" w:lineRule="exact"/>
        <w:ind w:left="0" w:leftChars="0" w:firstLine="321" w:firstLineChars="100"/>
        <w:textAlignment w:val="auto"/>
        <w:rPr>
          <w:rFonts w:eastAsia="仿宋"/>
          <w:sz w:val="32"/>
          <w:szCs w:val="32"/>
        </w:rPr>
      </w:pPr>
      <w:r>
        <w:rPr>
          <w:rFonts w:hint="eastAsia" w:ascii="仿宋" w:hAnsi="仿宋" w:eastAsia="仿宋" w:cs="仿宋"/>
          <w:b/>
          <w:sz w:val="32"/>
          <w:szCs w:val="32"/>
        </w:rPr>
        <w:t>（二）价格响应文件（单本单独密封装订）</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1、分项明细报价表；</w:t>
      </w:r>
    </w:p>
    <w:p>
      <w:pPr>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rPr>
      </w:pPr>
      <w:r>
        <w:rPr>
          <w:rFonts w:hint="eastAsia" w:ascii="Times New Roman" w:hAnsi="Times New Roman" w:eastAsia="方正仿宋_GBK" w:cs="Times New Roman"/>
          <w:b w:val="0"/>
          <w:bCs w:val="0"/>
          <w:color w:val="auto"/>
          <w:sz w:val="32"/>
          <w:szCs w:val="32"/>
          <w:highlight w:val="none"/>
          <w:lang w:val="zh-CN"/>
        </w:rPr>
        <w:t>2、磋商响应报价表（见附件二）。</w:t>
      </w:r>
    </w:p>
    <w:p>
      <w:pPr>
        <w:pStyle w:val="2"/>
        <w:keepNext w:val="0"/>
        <w:keepLines w:val="0"/>
        <w:pageBreakBefore w:val="0"/>
        <w:widowControl w:val="0"/>
        <w:kinsoku/>
        <w:wordWrap/>
        <w:overflowPunct/>
        <w:topLinePunct w:val="0"/>
        <w:bidi w:val="0"/>
        <w:spacing w:after="0" w:line="580" w:lineRule="exact"/>
        <w:ind w:left="0" w:leftChars="0" w:firstLine="0" w:firstLineChars="0"/>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八、评分标准</w:t>
      </w:r>
    </w:p>
    <w:p>
      <w:pPr>
        <w:pStyle w:val="21"/>
        <w:keepNext w:val="0"/>
        <w:keepLines w:val="0"/>
        <w:pageBreakBefore w:val="0"/>
        <w:widowControl w:val="0"/>
        <w:kinsoku/>
        <w:wordWrap/>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采用综合评分法，</w:t>
      </w:r>
      <w:r>
        <w:rPr>
          <w:rFonts w:hint="default" w:ascii="Times New Roman" w:hAnsi="Times New Roman" w:eastAsia="方正仿宋_GBK" w:cs="Times New Roman"/>
          <w:color w:val="000000"/>
          <w:kern w:val="2"/>
          <w:sz w:val="32"/>
          <w:szCs w:val="32"/>
          <w:lang w:val="zh-CN" w:eastAsia="zh-CN" w:bidi="ar-SA"/>
        </w:rPr>
        <w:t>按照供应商</w:t>
      </w:r>
      <w:r>
        <w:rPr>
          <w:rFonts w:hint="default" w:ascii="Times New Roman" w:hAnsi="Times New Roman" w:eastAsia="方正仿宋_GBK" w:cs="Times New Roman"/>
          <w:color w:val="000000"/>
          <w:kern w:val="2"/>
          <w:sz w:val="32"/>
          <w:szCs w:val="32"/>
          <w:lang w:val="en-US" w:eastAsia="zh-CN" w:bidi="ar-SA"/>
        </w:rPr>
        <w:t>提交的响应文件和最后报价进行综合评分。最终得分最高的为第一成交候选人，在分数相同的情况下由采购人代表现场抽签确定成交候选人，若第一成交候选人弃标的，由第二成交候选人成交，依次类推。</w:t>
      </w:r>
    </w:p>
    <w:p>
      <w:pPr>
        <w:pStyle w:val="21"/>
        <w:keepNext w:val="0"/>
        <w:keepLines w:val="0"/>
        <w:pageBreakBefore w:val="0"/>
        <w:widowControl w:val="0"/>
        <w:kinsoku/>
        <w:wordWrap/>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商务技术部分评审结束后，再开启最后报价计算分值。总分值为100分，加分和减分因素除外。</w:t>
      </w:r>
    </w:p>
    <w:p>
      <w:pPr>
        <w:keepNext w:val="0"/>
        <w:keepLines w:val="0"/>
        <w:pageBreakBefore w:val="0"/>
        <w:widowControl w:val="0"/>
        <w:kinsoku/>
        <w:wordWrap/>
        <w:overflowPunct/>
        <w:topLinePunct w:val="0"/>
        <w:bidi w:val="0"/>
        <w:snapToGrid w:val="0"/>
        <w:spacing w:line="580" w:lineRule="exact"/>
        <w:ind w:left="2" w:firstLine="643" w:firstLineChars="200"/>
        <w:jc w:val="left"/>
        <w:textAlignment w:val="auto"/>
        <w:rPr>
          <w:rFonts w:ascii="Times New Roman" w:hAnsi="Times New Roman" w:eastAsia="方正仿宋_GBK" w:cs="Times New Roman"/>
          <w:color w:val="000000" w:themeColor="text1"/>
          <w:sz w:val="32"/>
          <w:szCs w:val="32"/>
          <w:lang w:val="zh-CN"/>
          <w14:textFill>
            <w14:solidFill>
              <w14:schemeClr w14:val="tx1"/>
            </w14:solidFill>
          </w14:textFill>
        </w:rPr>
      </w:pPr>
      <w:r>
        <w:rPr>
          <w:rFonts w:ascii="Times New Roman" w:hAnsi="Times New Roman" w:eastAsia="方正仿宋_GBK" w:cs="Times New Roman"/>
          <w:b/>
          <w:color w:val="000000" w:themeColor="text1"/>
          <w:sz w:val="32"/>
          <w:szCs w:val="32"/>
          <w:lang w:val="zh-CN"/>
          <w14:textFill>
            <w14:solidFill>
              <w14:schemeClr w14:val="tx1"/>
            </w14:solidFill>
          </w14:textFill>
        </w:rPr>
        <w:t>商务技术分</w:t>
      </w:r>
      <w:r>
        <w:rPr>
          <w:rFonts w:ascii="Times New Roman" w:hAnsi="Times New Roman" w:eastAsia="方正仿宋_GBK" w:cs="Times New Roman"/>
          <w:color w:val="000000" w:themeColor="text1"/>
          <w:sz w:val="32"/>
          <w:szCs w:val="32"/>
          <w:lang w:val="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sz w:val="32"/>
          <w:szCs w:val="32"/>
          <w14:textFill>
            <w14:solidFill>
              <w14:schemeClr w14:val="tx1"/>
            </w14:solidFill>
          </w14:textFill>
        </w:rPr>
        <w:t>0</w:t>
      </w:r>
      <w:r>
        <w:rPr>
          <w:rFonts w:ascii="Times New Roman" w:hAnsi="Times New Roman" w:eastAsia="方正仿宋_GBK" w:cs="Times New Roman"/>
          <w:b/>
          <w:bCs/>
          <w:color w:val="000000" w:themeColor="text1"/>
          <w:sz w:val="32"/>
          <w:szCs w:val="32"/>
          <w:lang w:val="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各投标人得分为评委会成员评分的算术平均分，分值保留小数点后两位。</w:t>
      </w:r>
    </w:p>
    <w:tbl>
      <w:tblPr>
        <w:tblStyle w:val="12"/>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276"/>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7" w:type="dxa"/>
            <w:noWrap/>
            <w:vAlign w:val="center"/>
          </w:tcPr>
          <w:p>
            <w:pPr>
              <w:snapToGrid w:val="0"/>
              <w:spacing w:line="360" w:lineRule="auto"/>
              <w:jc w:val="center"/>
              <w:rPr>
                <w:rFonts w:hint="eastAsia" w:ascii="仿宋" w:hAnsi="仿宋" w:eastAsia="仿宋" w:cs="仿宋_GB2312"/>
                <w:b/>
                <w:bCs/>
                <w:sz w:val="24"/>
                <w:szCs w:val="24"/>
                <w:highlight w:val="none"/>
                <w:lang w:eastAsia="zh-CN"/>
              </w:rPr>
            </w:pPr>
            <w:r>
              <w:rPr>
                <w:rFonts w:hint="eastAsia" w:ascii="仿宋" w:hAnsi="仿宋" w:eastAsia="仿宋" w:cs="仿宋_GB2312"/>
                <w:b/>
                <w:bCs/>
                <w:sz w:val="24"/>
                <w:szCs w:val="24"/>
                <w:highlight w:val="none"/>
                <w:lang w:eastAsia="zh-CN"/>
              </w:rPr>
              <w:t>序号</w:t>
            </w:r>
          </w:p>
        </w:tc>
        <w:tc>
          <w:tcPr>
            <w:tcW w:w="1276" w:type="dxa"/>
            <w:noWrap/>
            <w:vAlign w:val="center"/>
          </w:tcPr>
          <w:p>
            <w:pPr>
              <w:snapToGrid w:val="0"/>
              <w:spacing w:line="360" w:lineRule="auto"/>
              <w:jc w:val="center"/>
              <w:rPr>
                <w:rFonts w:ascii="仿宋" w:hAnsi="仿宋" w:eastAsia="仿宋" w:cs="仿宋_GB2312"/>
                <w:b/>
                <w:bCs/>
                <w:sz w:val="24"/>
                <w:szCs w:val="24"/>
                <w:highlight w:val="none"/>
              </w:rPr>
            </w:pPr>
            <w:r>
              <w:rPr>
                <w:rFonts w:hint="eastAsia" w:ascii="仿宋" w:hAnsi="仿宋" w:eastAsia="仿宋" w:cs="仿宋_GB2312"/>
                <w:b/>
                <w:bCs/>
                <w:sz w:val="24"/>
                <w:szCs w:val="24"/>
                <w:highlight w:val="none"/>
              </w:rPr>
              <w:t>评分因素</w:t>
            </w:r>
          </w:p>
        </w:tc>
        <w:tc>
          <w:tcPr>
            <w:tcW w:w="7593" w:type="dxa"/>
            <w:noWrap/>
            <w:vAlign w:val="center"/>
          </w:tcPr>
          <w:p>
            <w:pPr>
              <w:snapToGrid w:val="0"/>
              <w:spacing w:line="360" w:lineRule="auto"/>
              <w:jc w:val="center"/>
              <w:rPr>
                <w:rFonts w:ascii="仿宋" w:hAnsi="仿宋" w:eastAsia="仿宋" w:cs="仿宋_GB2312"/>
                <w:b/>
                <w:bCs/>
                <w:sz w:val="24"/>
                <w:szCs w:val="24"/>
                <w:highlight w:val="none"/>
              </w:rPr>
            </w:pPr>
            <w:r>
              <w:rPr>
                <w:rFonts w:hint="eastAsia" w:ascii="仿宋" w:hAnsi="仿宋" w:eastAsia="仿宋" w:cs="仿宋_GB2312"/>
                <w:b/>
                <w:bCs/>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47" w:type="dxa"/>
            <w:noWrap/>
            <w:vAlign w:val="center"/>
          </w:tcPr>
          <w:p>
            <w:pPr>
              <w:pStyle w:val="29"/>
              <w:snapToGrid w:val="0"/>
              <w:ind w:firstLine="0"/>
              <w:jc w:val="center"/>
              <w:rPr>
                <w:rFonts w:hint="eastAsia" w:ascii="仿宋" w:hAnsi="仿宋" w:eastAsia="仿宋" w:cs="仿宋_GB2312"/>
                <w:bCs/>
                <w:sz w:val="24"/>
                <w:szCs w:val="24"/>
                <w:highlight w:val="none"/>
                <w:lang w:val="en-US" w:eastAsia="zh-CN"/>
              </w:rPr>
            </w:pPr>
            <w:r>
              <w:rPr>
                <w:rFonts w:hint="eastAsia" w:ascii="仿宋" w:hAnsi="仿宋" w:eastAsia="仿宋" w:cs="仿宋_GB2312"/>
                <w:bCs/>
                <w:sz w:val="24"/>
                <w:szCs w:val="24"/>
                <w:highlight w:val="none"/>
                <w:lang w:val="en-US" w:eastAsia="zh-CN"/>
              </w:rPr>
              <w:t>1</w:t>
            </w:r>
          </w:p>
        </w:tc>
        <w:tc>
          <w:tcPr>
            <w:tcW w:w="1276" w:type="dxa"/>
            <w:noWrap/>
            <w:vAlign w:val="center"/>
          </w:tcPr>
          <w:p>
            <w:pPr>
              <w:pStyle w:val="29"/>
              <w:snapToGrid w:val="0"/>
              <w:ind w:firstLine="0"/>
              <w:jc w:val="left"/>
              <w:rPr>
                <w:rFonts w:ascii="仿宋" w:hAnsi="仿宋" w:eastAsia="仿宋" w:cs="仿宋_GB2312"/>
                <w:bCs/>
                <w:sz w:val="24"/>
                <w:szCs w:val="24"/>
                <w:highlight w:val="none"/>
              </w:rPr>
            </w:pPr>
            <w:r>
              <w:rPr>
                <w:rFonts w:hint="eastAsia" w:ascii="仿宋" w:hAnsi="仿宋" w:eastAsia="仿宋" w:cs="仿宋_GB2312"/>
                <w:bCs/>
                <w:sz w:val="24"/>
                <w:szCs w:val="24"/>
                <w:highlight w:val="none"/>
                <w:lang w:val="en-US" w:eastAsia="zh-CN"/>
              </w:rPr>
              <w:t>运维团队</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10</w:t>
            </w:r>
            <w:r>
              <w:rPr>
                <w:rFonts w:hint="eastAsia" w:ascii="仿宋" w:hAnsi="仿宋" w:eastAsia="仿宋" w:cs="仿宋_GB2312"/>
                <w:bCs/>
                <w:sz w:val="24"/>
                <w:szCs w:val="24"/>
                <w:highlight w:val="none"/>
              </w:rPr>
              <w:t>分）</w:t>
            </w:r>
          </w:p>
        </w:tc>
        <w:tc>
          <w:tcPr>
            <w:tcW w:w="7593" w:type="dxa"/>
            <w:noWrap/>
            <w:vAlign w:val="center"/>
          </w:tcPr>
          <w:p>
            <w:pPr>
              <w:tabs>
                <w:tab w:val="left" w:pos="3585"/>
              </w:tabs>
              <w:spacing w:line="360" w:lineRule="auto"/>
              <w:rPr>
                <w:rFonts w:hint="eastAsia" w:ascii="仿宋" w:hAnsi="仿宋" w:eastAsia="仿宋" w:cs="仿宋_GB2312"/>
                <w:bCs/>
                <w:sz w:val="24"/>
                <w:szCs w:val="24"/>
                <w:highlight w:val="none"/>
                <w:lang w:eastAsia="zh-CN"/>
              </w:rPr>
            </w:pPr>
            <w:r>
              <w:rPr>
                <w:rFonts w:hint="eastAsia" w:ascii="仿宋" w:hAnsi="仿宋" w:eastAsia="仿宋" w:cs="Arial"/>
                <w:sz w:val="24"/>
                <w:szCs w:val="24"/>
                <w:lang w:val="en-US" w:eastAsia="zh-CN"/>
              </w:rPr>
              <w:t>方案中提供运维服务团队人员名单，有指定项目经理且有高级职称得5分；除项目经理外，团队人员不少于3人得5分；其余不得分。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7" w:type="dxa"/>
            <w:noWrap/>
            <w:vAlign w:val="center"/>
          </w:tcPr>
          <w:p>
            <w:pPr>
              <w:pStyle w:val="29"/>
              <w:snapToGrid w:val="0"/>
              <w:ind w:firstLine="0"/>
              <w:jc w:val="center"/>
              <w:rPr>
                <w:rFonts w:hint="eastAsia" w:ascii="仿宋" w:hAnsi="仿宋" w:eastAsia="仿宋" w:cs="仿宋_GB2312"/>
                <w:bCs/>
                <w:sz w:val="24"/>
                <w:szCs w:val="24"/>
                <w:highlight w:val="none"/>
                <w:lang w:val="en-US" w:eastAsia="zh-CN"/>
              </w:rPr>
            </w:pPr>
            <w:r>
              <w:rPr>
                <w:rFonts w:hint="eastAsia" w:ascii="仿宋" w:hAnsi="仿宋" w:eastAsia="仿宋" w:cs="仿宋_GB2312"/>
                <w:bCs/>
                <w:sz w:val="24"/>
                <w:szCs w:val="24"/>
                <w:highlight w:val="none"/>
                <w:lang w:val="en-US" w:eastAsia="zh-CN"/>
              </w:rPr>
              <w:t>2</w:t>
            </w:r>
          </w:p>
        </w:tc>
        <w:tc>
          <w:tcPr>
            <w:tcW w:w="1276" w:type="dxa"/>
            <w:noWrap/>
            <w:vAlign w:val="center"/>
          </w:tcPr>
          <w:p>
            <w:pPr>
              <w:pStyle w:val="29"/>
              <w:snapToGrid w:val="0"/>
              <w:ind w:firstLine="0"/>
              <w:jc w:val="left"/>
              <w:rPr>
                <w:rFonts w:ascii="仿宋" w:hAnsi="仿宋" w:eastAsia="仿宋" w:cs="仿宋_GB2312"/>
                <w:bCs/>
                <w:sz w:val="24"/>
                <w:szCs w:val="24"/>
                <w:highlight w:val="none"/>
              </w:rPr>
            </w:pPr>
            <w:r>
              <w:rPr>
                <w:rFonts w:hint="eastAsia" w:ascii="仿宋" w:hAnsi="仿宋" w:eastAsia="仿宋" w:cs="仿宋_GB2312"/>
                <w:bCs/>
                <w:sz w:val="24"/>
                <w:szCs w:val="24"/>
                <w:highlight w:val="none"/>
                <w:lang w:val="en-US" w:eastAsia="zh-CN"/>
              </w:rPr>
              <w:t>运维案例</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20</w:t>
            </w:r>
            <w:r>
              <w:rPr>
                <w:rFonts w:hint="eastAsia" w:ascii="仿宋" w:hAnsi="仿宋" w:eastAsia="仿宋" w:cs="仿宋_GB2312"/>
                <w:bCs/>
                <w:sz w:val="24"/>
                <w:szCs w:val="24"/>
                <w:highlight w:val="none"/>
              </w:rPr>
              <w:t>分）</w:t>
            </w:r>
          </w:p>
        </w:tc>
        <w:tc>
          <w:tcPr>
            <w:tcW w:w="7593" w:type="dxa"/>
            <w:noWrap/>
            <w:vAlign w:val="center"/>
          </w:tcPr>
          <w:p>
            <w:pPr>
              <w:tabs>
                <w:tab w:val="left" w:pos="3585"/>
              </w:tabs>
              <w:spacing w:line="360" w:lineRule="auto"/>
              <w:rPr>
                <w:rFonts w:hint="eastAsia" w:ascii="仿宋" w:hAnsi="仿宋" w:eastAsia="仿宋" w:cs="仿宋_GB2312"/>
                <w:bCs/>
                <w:sz w:val="24"/>
                <w:szCs w:val="24"/>
                <w:highlight w:val="none"/>
                <w:lang w:val="en-US" w:eastAsia="zh-CN"/>
              </w:rPr>
            </w:pPr>
            <w:r>
              <w:rPr>
                <w:rFonts w:hint="eastAsia" w:ascii="仿宋" w:hAnsi="仿宋" w:eastAsia="仿宋" w:cs="Arial"/>
                <w:sz w:val="24"/>
                <w:szCs w:val="24"/>
                <w:lang w:val="en-US" w:eastAsia="zh-CN"/>
              </w:rPr>
              <w:t>供应商提供类似运维服务案例（同一项目的多期合同按一份有效合同计算），每提供一个案例合同得5分，最高得分20分。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47" w:type="dxa"/>
            <w:noWrap/>
            <w:vAlign w:val="center"/>
          </w:tcPr>
          <w:p>
            <w:pPr>
              <w:pStyle w:val="29"/>
              <w:snapToGrid w:val="0"/>
              <w:ind w:firstLine="0"/>
              <w:jc w:val="center"/>
              <w:rPr>
                <w:rFonts w:hint="eastAsia" w:ascii="仿宋" w:hAnsi="仿宋" w:eastAsia="仿宋" w:cs="仿宋_GB2312"/>
                <w:bCs/>
                <w:sz w:val="24"/>
                <w:szCs w:val="24"/>
                <w:highlight w:val="none"/>
                <w:lang w:val="en-US" w:eastAsia="zh-CN"/>
              </w:rPr>
            </w:pPr>
            <w:r>
              <w:rPr>
                <w:rFonts w:hint="eastAsia" w:ascii="仿宋" w:hAnsi="仿宋" w:eastAsia="仿宋" w:cs="仿宋_GB2312"/>
                <w:bCs/>
                <w:sz w:val="24"/>
                <w:szCs w:val="24"/>
                <w:highlight w:val="none"/>
                <w:lang w:val="en-US" w:eastAsia="zh-CN"/>
              </w:rPr>
              <w:t>3</w:t>
            </w:r>
          </w:p>
        </w:tc>
        <w:tc>
          <w:tcPr>
            <w:tcW w:w="1276" w:type="dxa"/>
            <w:noWrap/>
            <w:vAlign w:val="center"/>
          </w:tcPr>
          <w:p>
            <w:pPr>
              <w:pStyle w:val="29"/>
              <w:snapToGrid w:val="0"/>
              <w:ind w:firstLine="0"/>
              <w:jc w:val="left"/>
              <w:rPr>
                <w:rFonts w:ascii="仿宋" w:hAnsi="仿宋" w:eastAsia="仿宋" w:cs="仿宋_GB2312"/>
                <w:bCs/>
                <w:sz w:val="24"/>
                <w:szCs w:val="24"/>
                <w:highlight w:val="none"/>
              </w:rPr>
            </w:pPr>
            <w:r>
              <w:rPr>
                <w:rFonts w:hint="eastAsia" w:ascii="仿宋" w:hAnsi="仿宋" w:eastAsia="仿宋"/>
                <w:b w:val="0"/>
                <w:bCs/>
                <w:sz w:val="24"/>
                <w:szCs w:val="24"/>
                <w:lang w:val="en-US" w:eastAsia="zh-CN"/>
              </w:rPr>
              <w:t>运维</w:t>
            </w:r>
            <w:r>
              <w:rPr>
                <w:rFonts w:hint="eastAsia" w:ascii="仿宋" w:hAnsi="仿宋" w:eastAsia="仿宋"/>
                <w:b w:val="0"/>
                <w:bCs/>
                <w:sz w:val="24"/>
                <w:szCs w:val="24"/>
              </w:rPr>
              <w:t>方案</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20</w:t>
            </w:r>
            <w:r>
              <w:rPr>
                <w:rFonts w:hint="eastAsia" w:ascii="仿宋" w:hAnsi="仿宋" w:eastAsia="仿宋" w:cs="仿宋_GB2312"/>
                <w:bCs/>
                <w:sz w:val="24"/>
                <w:szCs w:val="24"/>
                <w:highlight w:val="none"/>
              </w:rPr>
              <w:t>分）</w:t>
            </w:r>
          </w:p>
        </w:tc>
        <w:tc>
          <w:tcPr>
            <w:tcW w:w="7593" w:type="dxa"/>
            <w:noWrap/>
            <w:vAlign w:val="center"/>
          </w:tcPr>
          <w:p>
            <w:pPr>
              <w:tabs>
                <w:tab w:val="left" w:pos="3585"/>
              </w:tabs>
              <w:spacing w:line="360" w:lineRule="auto"/>
              <w:rPr>
                <w:rFonts w:hint="eastAsia" w:ascii="仿宋" w:hAnsi="仿宋" w:eastAsia="仿宋" w:cs="仿宋_GB2312"/>
                <w:bCs/>
                <w:sz w:val="24"/>
                <w:szCs w:val="24"/>
                <w:highlight w:val="none"/>
                <w:lang w:eastAsia="zh-CN"/>
              </w:rPr>
            </w:pPr>
            <w:r>
              <w:rPr>
                <w:rFonts w:hint="eastAsia" w:ascii="仿宋" w:hAnsi="仿宋" w:eastAsia="仿宋" w:cs="Arial"/>
                <w:sz w:val="24"/>
                <w:szCs w:val="24"/>
                <w:lang w:val="en-US" w:eastAsia="zh-CN"/>
              </w:rPr>
              <w:t>根据供应商针对本项目制定的运维方案进行综合评审，方案应包括但不限于日常维护措施、故障检修方案及信息化监测手段等内容：（1）运维方案合理可行，完全满足或优于项目要求，得20分；（2）运维方案较为一般，能基本满足项目要求，得15分；（3）系统运维方案不能完全满足项目要求，得10分；（4）方案不符合要求、不提供相关内容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47" w:type="dxa"/>
            <w:noWrap/>
            <w:vAlign w:val="center"/>
          </w:tcPr>
          <w:p>
            <w:pPr>
              <w:pStyle w:val="29"/>
              <w:snapToGrid w:val="0"/>
              <w:ind w:firstLine="0"/>
              <w:jc w:val="center"/>
              <w:rPr>
                <w:rFonts w:hint="default" w:ascii="仿宋" w:hAnsi="仿宋" w:eastAsia="仿宋" w:cs="仿宋_GB2312"/>
                <w:bCs/>
                <w:sz w:val="24"/>
                <w:szCs w:val="24"/>
                <w:highlight w:val="none"/>
                <w:lang w:val="en-US" w:eastAsia="zh-CN"/>
              </w:rPr>
            </w:pPr>
            <w:r>
              <w:rPr>
                <w:rFonts w:hint="eastAsia" w:ascii="仿宋" w:hAnsi="仿宋" w:eastAsia="仿宋" w:cs="仿宋_GB2312"/>
                <w:bCs/>
                <w:sz w:val="24"/>
                <w:szCs w:val="24"/>
                <w:highlight w:val="none"/>
                <w:lang w:val="en-US" w:eastAsia="zh-CN"/>
              </w:rPr>
              <w:t>4</w:t>
            </w:r>
          </w:p>
        </w:tc>
        <w:tc>
          <w:tcPr>
            <w:tcW w:w="1276" w:type="dxa"/>
            <w:noWrap/>
            <w:vAlign w:val="center"/>
          </w:tcPr>
          <w:p>
            <w:pPr>
              <w:pStyle w:val="29"/>
              <w:snapToGrid w:val="0"/>
              <w:ind w:firstLine="0"/>
              <w:jc w:val="left"/>
              <w:rPr>
                <w:rFonts w:ascii="仿宋" w:hAnsi="仿宋" w:eastAsia="仿宋" w:cs="仿宋_GB2312"/>
                <w:bCs/>
                <w:sz w:val="24"/>
                <w:szCs w:val="24"/>
                <w:highlight w:val="none"/>
              </w:rPr>
            </w:pPr>
            <w:r>
              <w:rPr>
                <w:rFonts w:hint="eastAsia" w:ascii="仿宋" w:hAnsi="仿宋" w:eastAsia="仿宋" w:cs="仿宋_GB2312"/>
                <w:bCs/>
                <w:sz w:val="24"/>
                <w:szCs w:val="24"/>
                <w:highlight w:val="none"/>
                <w:lang w:val="en-US" w:eastAsia="zh-CN"/>
              </w:rPr>
              <w:t>应急响应</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20</w:t>
            </w:r>
            <w:r>
              <w:rPr>
                <w:rFonts w:hint="eastAsia" w:ascii="仿宋" w:hAnsi="仿宋" w:eastAsia="仿宋" w:cs="仿宋_GB2312"/>
                <w:bCs/>
                <w:sz w:val="24"/>
                <w:szCs w:val="24"/>
                <w:highlight w:val="none"/>
              </w:rPr>
              <w:t>分）</w:t>
            </w:r>
          </w:p>
        </w:tc>
        <w:tc>
          <w:tcPr>
            <w:tcW w:w="7593" w:type="dxa"/>
            <w:noWrap/>
            <w:vAlign w:val="center"/>
          </w:tcPr>
          <w:p>
            <w:pPr>
              <w:tabs>
                <w:tab w:val="left" w:pos="3585"/>
              </w:tabs>
              <w:spacing w:line="360" w:lineRule="auto"/>
              <w:rPr>
                <w:rFonts w:ascii="仿宋" w:hAnsi="仿宋" w:eastAsia="仿宋" w:cs="仿宋_GB2312"/>
                <w:bCs/>
                <w:sz w:val="24"/>
                <w:szCs w:val="24"/>
                <w:highlight w:val="none"/>
              </w:rPr>
            </w:pPr>
            <w:r>
              <w:rPr>
                <w:rFonts w:hint="eastAsia" w:ascii="仿宋" w:hAnsi="仿宋" w:eastAsia="仿宋" w:cs="Arial"/>
                <w:sz w:val="24"/>
                <w:szCs w:val="24"/>
                <w:lang w:val="en-US" w:eastAsia="zh-CN"/>
              </w:rPr>
              <w:t>根据供应商针对本项目的应急响应方案进行综合评分，包括但不限于故障响应时效保障措施、数据灾难恢复规划、灾难演练部署等内容。（1）方案完善合理，能够满足本项目故障响应需求，且能提供针对性的灾难恢复预案，得20分；（2）未能完全满足项目的故障响应需求，或未能提供针对性的灾难恢复预案，得15分；（3）未能完全满足项目的故障响应需求，且未能提供针对性的灾难恢复预案，得10分；（4）方案不符合要求、不提供相关内容或其它不得分。</w:t>
            </w:r>
          </w:p>
        </w:tc>
      </w:tr>
    </w:tbl>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lang w:val="zh-CN"/>
          <w14:textFill>
            <w14:solidFill>
              <w14:schemeClr w14:val="tx1"/>
            </w14:solidFill>
          </w14:textFill>
        </w:rPr>
        <w:t>价格分</w:t>
      </w:r>
      <w:r>
        <w:rPr>
          <w:rFonts w:ascii="Times New Roman" w:hAnsi="Times New Roman" w:eastAsia="方正仿宋_GBK" w:cs="Times New Roman"/>
          <w:b/>
          <w:color w:val="000000" w:themeColor="text1"/>
          <w:sz w:val="32"/>
          <w:szCs w:val="32"/>
          <w14:textFill>
            <w14:solidFill>
              <w14:schemeClr w14:val="tx1"/>
            </w14:solidFill>
          </w14:textFill>
        </w:rPr>
        <w:t>：</w:t>
      </w:r>
      <w:r>
        <w:rPr>
          <w:rFonts w:hint="eastAsia" w:ascii="Times New Roman" w:hAnsi="Times New Roman" w:eastAsia="方正仿宋_GBK" w:cs="Times New Roman"/>
          <w:b/>
          <w:color w:val="000000" w:themeColor="text1"/>
          <w:sz w:val="32"/>
          <w:szCs w:val="32"/>
          <w:lang w:val="en-US" w:eastAsia="zh-CN"/>
          <w14:textFill>
            <w14:solidFill>
              <w14:schemeClr w14:val="tx1"/>
            </w14:solidFill>
          </w14:textFill>
        </w:rPr>
        <w:t>3</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0</w:t>
      </w:r>
      <w:r>
        <w:rPr>
          <w:rFonts w:hint="eastAsia" w:ascii="Times New Roman" w:hAnsi="Times New Roman" w:eastAsia="方正仿宋_GBK" w:cs="Times New Roman"/>
          <w:b/>
          <w:bCs/>
          <w:color w:val="000000" w:themeColor="text1"/>
          <w:sz w:val="32"/>
          <w:szCs w:val="32"/>
          <w:lang w:val="zh-CN" w:eastAsia="zh-CN"/>
          <w14:textFill>
            <w14:solidFill>
              <w14:schemeClr w14:val="tx1"/>
            </w14:solidFill>
          </w14:textFill>
        </w:rPr>
        <w:t>分</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价格标评标基准分为</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0分，满足招标文件要求且投标价格最低的投标报价为评标基准价，其价格分为满分（</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0分），其他投标人的价格分统一按照下列公式计算：</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投标报价得分=(投标基准价／最后投标报价)×</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0×100%。</w:t>
      </w:r>
    </w:p>
    <w:p>
      <w:pPr>
        <w:keepNext w:val="0"/>
        <w:keepLines w:val="0"/>
        <w:pageBreakBefore w:val="0"/>
        <w:widowControl w:val="0"/>
        <w:kinsoku/>
        <w:wordWrap/>
        <w:overflowPunct/>
        <w:topLinePunct w:val="0"/>
        <w:bidi w:val="0"/>
        <w:spacing w:line="580" w:lineRule="exact"/>
        <w:textAlignment w:val="auto"/>
        <w:rPr>
          <w:rFonts w:hint="eastAsia"/>
        </w:rPr>
      </w:pPr>
      <w:r>
        <w:rPr>
          <w:rFonts w:ascii="Times New Roman" w:hAnsi="Times New Roman" w:eastAsia="方正仿宋_GBK" w:cs="Times New Roman"/>
          <w:sz w:val="32"/>
          <w:szCs w:val="32"/>
        </w:rPr>
        <w:t>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磋商处理。</w:t>
      </w:r>
    </w:p>
    <w:p>
      <w:pPr>
        <w:autoSpaceDE w:val="0"/>
        <w:autoSpaceDN w:val="0"/>
        <w:adjustRightInd w:val="0"/>
        <w:snapToGrid w:val="0"/>
        <w:ind w:firstLine="600"/>
        <w:contextualSpacing/>
        <w:jc w:val="left"/>
        <w:rPr>
          <w:rFonts w:ascii="仿宋" w:hAnsi="仿宋" w:eastAsia="仿宋" w:cs="Times New Roman"/>
          <w:kern w:val="0"/>
          <w:sz w:val="30"/>
          <w:szCs w:val="30"/>
        </w:rPr>
      </w:pPr>
    </w:p>
    <w:p>
      <w:pPr>
        <w:ind w:firstLine="482" w:firstLineChars="200"/>
        <w:rPr>
          <w:rFonts w:ascii="宋体"/>
          <w:b/>
          <w:bCs/>
          <w:sz w:val="24"/>
          <w:szCs w:val="24"/>
        </w:rPr>
      </w:pPr>
    </w:p>
    <w:bookmarkEnd w:id="3"/>
    <w:p>
      <w:pPr>
        <w:rPr>
          <w:rFonts w:ascii="宋体"/>
          <w:b/>
          <w:bCs/>
          <w:sz w:val="24"/>
          <w:szCs w:val="24"/>
        </w:rPr>
        <w:sectPr>
          <w:pgSz w:w="11906" w:h="16838"/>
          <w:pgMar w:top="1560" w:right="1800" w:bottom="1440" w:left="1800" w:header="851" w:footer="657" w:gutter="0"/>
          <w:cols w:space="425" w:num="1"/>
          <w:docGrid w:type="lines" w:linePitch="312" w:charSpace="0"/>
        </w:sectPr>
      </w:pPr>
    </w:p>
    <w:p>
      <w:pPr>
        <w:rPr>
          <w:rFonts w:ascii="宋体" w:cs="Times New Roman"/>
          <w:b/>
          <w:bCs/>
          <w:sz w:val="24"/>
          <w:szCs w:val="24"/>
        </w:rPr>
      </w:pPr>
      <w:r>
        <w:rPr>
          <w:rFonts w:ascii="宋体"/>
          <w:b/>
          <w:bCs/>
          <w:sz w:val="24"/>
          <w:szCs w:val="24"/>
        </w:rPr>
        <w:t>附件</w:t>
      </w:r>
      <w:r>
        <w:rPr>
          <w:rFonts w:hint="eastAsia" w:ascii="宋体"/>
          <w:b/>
          <w:bCs/>
          <w:sz w:val="24"/>
          <w:szCs w:val="24"/>
        </w:rPr>
        <w:t>1：</w:t>
      </w:r>
    </w:p>
    <w:p>
      <w:pPr>
        <w:rPr>
          <w:rFonts w:ascii="宋体" w:cs="Times New Roman"/>
          <w:sz w:val="24"/>
        </w:rPr>
      </w:pPr>
    </w:p>
    <w:p>
      <w:pPr>
        <w:jc w:val="center"/>
        <w:rPr>
          <w:rFonts w:ascii="宋体" w:hAnsi="宋体" w:cs="Times New Roman"/>
          <w:b/>
          <w:bCs/>
          <w:sz w:val="36"/>
          <w:szCs w:val="36"/>
        </w:rPr>
      </w:pPr>
      <w:r>
        <w:rPr>
          <w:rFonts w:hint="eastAsia" w:ascii="宋体" w:hAnsi="宋体" w:cs="Times New Roman"/>
          <w:b/>
          <w:bCs/>
          <w:sz w:val="44"/>
          <w:szCs w:val="44"/>
          <w:lang w:val="zh-CN"/>
        </w:rPr>
        <w:t>投标承诺函</w:t>
      </w:r>
    </w:p>
    <w:p>
      <w:pPr>
        <w:spacing w:line="52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南通市</w:t>
      </w:r>
      <w:r>
        <w:rPr>
          <w:rFonts w:hint="eastAsia" w:ascii="方正仿宋_GBK" w:hAnsi="方正仿宋_GBK" w:eastAsia="方正仿宋_GBK" w:cs="方正仿宋_GBK"/>
          <w:sz w:val="32"/>
          <w:szCs w:val="32"/>
          <w:lang w:val="en-US" w:eastAsia="zh-CN"/>
        </w:rPr>
        <w:t>数据局</w:t>
      </w:r>
      <w:r>
        <w:rPr>
          <w:rFonts w:hint="eastAsia" w:ascii="方正仿宋_GBK" w:hAnsi="方正仿宋_GBK" w:eastAsia="方正仿宋_GBK" w:cs="方正仿宋_GBK"/>
          <w:sz w:val="32"/>
          <w:szCs w:val="32"/>
        </w:rPr>
        <w:t>：</w:t>
      </w:r>
    </w:p>
    <w:p>
      <w:pPr>
        <w:spacing w:line="52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（供应商名称）郑重承诺：</w:t>
      </w:r>
    </w:p>
    <w:p>
      <w:pPr>
        <w:snapToGrid w:val="0"/>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snapToGrid w:val="0"/>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贵方组织的</w:t>
      </w:r>
      <w:r>
        <w:rPr>
          <w:rFonts w:ascii="Times New Roman" w:hAnsi="Times New Roman" w:eastAsia="方正仿宋_GBK" w:cs="Times New Roman"/>
          <w:sz w:val="32"/>
          <w:szCs w:val="32"/>
        </w:rPr>
        <w:t>江苏省建筑工程一站式申报系统南通站点</w:t>
      </w:r>
      <w:r>
        <w:rPr>
          <w:rFonts w:hint="eastAsia" w:ascii="Times New Roman" w:hAnsi="Times New Roman" w:eastAsia="方正仿宋_GBK" w:cs="Times New Roman"/>
          <w:sz w:val="32"/>
          <w:szCs w:val="32"/>
        </w:rPr>
        <w:t>运维项目</w:t>
      </w:r>
      <w:r>
        <w:rPr>
          <w:rFonts w:hint="eastAsia" w:ascii="方正仿宋_GBK" w:hAnsi="方正仿宋_GBK" w:eastAsia="方正仿宋_GBK" w:cs="方正仿宋_GBK"/>
          <w:sz w:val="32"/>
          <w:szCs w:val="32"/>
        </w:rPr>
        <w:t>，我单位所提交的材料均为真实的，且能提供满足供应要求的运维服务内容。</w:t>
      </w:r>
    </w:p>
    <w:p>
      <w:pPr>
        <w:pStyle w:val="2"/>
        <w:spacing w:after="0"/>
        <w:ind w:firstLine="640"/>
        <w:rPr>
          <w:rFonts w:ascii="方正仿宋_GBK" w:hAnsi="方正仿宋_GBK" w:eastAsia="方正仿宋_GBK" w:cs="方正仿宋_GBK"/>
          <w:szCs w:val="32"/>
        </w:rPr>
      </w:pPr>
    </w:p>
    <w:p>
      <w:pPr>
        <w:ind w:firstLine="560"/>
        <w:jc w:val="left"/>
        <w:rPr>
          <w:rFonts w:ascii="方正仿宋_GBK" w:hAnsi="方正仿宋_GBK" w:eastAsia="方正仿宋_GBK" w:cs="方正仿宋_GBK"/>
          <w:sz w:val="32"/>
          <w:szCs w:val="32"/>
        </w:rPr>
      </w:pPr>
    </w:p>
    <w:p>
      <w:pPr>
        <w:ind w:firstLine="560"/>
        <w:jc w:val="left"/>
        <w:rPr>
          <w:rFonts w:ascii="方正仿宋_GBK" w:hAnsi="方正仿宋_GBK" w:eastAsia="方正仿宋_GBK" w:cs="方正仿宋_GBK"/>
          <w:sz w:val="32"/>
          <w:szCs w:val="32"/>
        </w:rPr>
      </w:pPr>
    </w:p>
    <w:p>
      <w:pPr>
        <w:ind w:firstLine="56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承诺人：（公章）</w:t>
      </w:r>
    </w:p>
    <w:p>
      <w:pPr>
        <w:ind w:firstLine="56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ind w:firstLine="640"/>
        <w:rPr>
          <w:rFonts w:ascii="方正仿宋_GBK" w:hAnsi="方正仿宋_GBK" w:eastAsia="方正仿宋_GBK" w:cs="方正仿宋_GBK"/>
          <w:szCs w:val="32"/>
        </w:rPr>
      </w:pPr>
    </w:p>
    <w:p>
      <w:pPr>
        <w:pStyle w:val="2"/>
        <w:ind w:firstLine="640"/>
        <w:rPr>
          <w:rFonts w:ascii="方正仿宋_GBK" w:hAnsi="方正仿宋_GBK" w:eastAsia="方正仿宋_GBK" w:cs="方正仿宋_GBK"/>
          <w:szCs w:val="32"/>
        </w:rPr>
      </w:pPr>
    </w:p>
    <w:p>
      <w:pPr>
        <w:pStyle w:val="2"/>
        <w:ind w:firstLine="640"/>
        <w:rPr>
          <w:rFonts w:ascii="方正仿宋_GBK" w:hAnsi="方正仿宋_GBK" w:eastAsia="方正仿宋_GBK" w:cs="方正仿宋_GBK"/>
          <w:szCs w:val="32"/>
        </w:rPr>
      </w:pPr>
    </w:p>
    <w:p>
      <w:pPr>
        <w:pStyle w:val="2"/>
        <w:ind w:firstLine="640"/>
        <w:rPr>
          <w:rFonts w:ascii="方正仿宋_GBK" w:hAnsi="方正仿宋_GBK" w:eastAsia="方正仿宋_GBK" w:cs="方正仿宋_GBK"/>
          <w:szCs w:val="32"/>
        </w:rPr>
      </w:pPr>
    </w:p>
    <w:p>
      <w:pPr>
        <w:pStyle w:val="2"/>
        <w:ind w:firstLine="640"/>
        <w:rPr>
          <w:rFonts w:ascii="方正仿宋_GBK" w:hAnsi="方正仿宋_GBK" w:eastAsia="方正仿宋_GBK" w:cs="方正仿宋_GBK"/>
          <w:szCs w:val="32"/>
        </w:rPr>
      </w:pPr>
    </w:p>
    <w:p>
      <w:pPr>
        <w:rPr>
          <w:rFonts w:ascii="宋体"/>
          <w:b/>
          <w:bCs/>
          <w:sz w:val="24"/>
          <w:szCs w:val="24"/>
        </w:rPr>
        <w:sectPr>
          <w:pgSz w:w="11906" w:h="16838"/>
          <w:pgMar w:top="1560" w:right="1800" w:bottom="1440" w:left="1800" w:header="851" w:footer="657" w:gutter="0"/>
          <w:cols w:space="425" w:num="1"/>
          <w:docGrid w:type="lines" w:linePitch="312" w:charSpace="0"/>
        </w:sectPr>
      </w:pPr>
    </w:p>
    <w:p>
      <w:pPr>
        <w:rPr>
          <w:rFonts w:ascii="宋体"/>
          <w:b/>
          <w:bCs/>
          <w:sz w:val="24"/>
          <w:szCs w:val="24"/>
        </w:rPr>
      </w:pPr>
      <w:r>
        <w:rPr>
          <w:rFonts w:ascii="宋体"/>
          <w:b/>
          <w:bCs/>
          <w:sz w:val="24"/>
          <w:szCs w:val="24"/>
        </w:rPr>
        <w:t>附件</w:t>
      </w:r>
      <w:r>
        <w:rPr>
          <w:rFonts w:hint="eastAsia" w:ascii="宋体"/>
          <w:b/>
          <w:bCs/>
          <w:sz w:val="24"/>
          <w:szCs w:val="24"/>
        </w:rPr>
        <w:t>2：</w:t>
      </w:r>
    </w:p>
    <w:p>
      <w:pPr>
        <w:snapToGrid w:val="0"/>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eastAsia="zh-CN"/>
        </w:rPr>
        <w:t>磋商</w:t>
      </w:r>
      <w:r>
        <w:rPr>
          <w:rFonts w:hint="eastAsia" w:ascii="方正小标宋_GBK" w:hAnsi="方正小标宋_GBK" w:eastAsia="方正小标宋_GBK" w:cs="方正小标宋_GBK"/>
          <w:sz w:val="44"/>
          <w:szCs w:val="44"/>
          <w:lang w:val="zh-CN"/>
        </w:rPr>
        <w:t>响应报价表</w:t>
      </w:r>
    </w:p>
    <w:p>
      <w:pPr>
        <w:pStyle w:val="11"/>
        <w:shd w:val="clear" w:color="auto" w:fill="FFFFFF"/>
        <w:spacing w:before="0" w:beforeAutospacing="0" w:after="75" w:afterAutospacing="0" w:line="525" w:lineRule="atLeast"/>
        <w:ind w:firstLine="420"/>
        <w:rPr>
          <w:rFonts w:ascii="方正仿宋_GBK" w:hAnsi="方正仿宋_GBK" w:eastAsia="方正仿宋_GBK" w:cs="方正仿宋_GBK"/>
          <w:color w:val="333333"/>
          <w:sz w:val="28"/>
          <w:szCs w:val="28"/>
        </w:rPr>
      </w:pPr>
      <w:r>
        <w:rPr>
          <w:rFonts w:hint="eastAsia" w:ascii="方正仿宋_GBK" w:hAnsi="方正仿宋_GBK" w:eastAsia="方正仿宋_GBK" w:cs="方正仿宋_GBK"/>
          <w:color w:val="333333"/>
          <w:sz w:val="28"/>
          <w:szCs w:val="28"/>
          <w:shd w:val="clear" w:color="auto" w:fill="FFFFFF"/>
        </w:rPr>
        <w:t>项目名称：</w:t>
      </w:r>
    </w:p>
    <w:tbl>
      <w:tblPr>
        <w:tblStyle w:val="12"/>
        <w:tblW w:w="8291" w:type="dxa"/>
        <w:tblCellSpacing w:w="0" w:type="dxa"/>
        <w:tblInd w:w="17" w:type="dxa"/>
        <w:shd w:val="clear" w:color="auto" w:fill="FFFFFF"/>
        <w:tblLayout w:type="autofit"/>
        <w:tblCellMar>
          <w:top w:w="0" w:type="dxa"/>
          <w:left w:w="0" w:type="dxa"/>
          <w:bottom w:w="0" w:type="dxa"/>
          <w:right w:w="0" w:type="dxa"/>
        </w:tblCellMar>
      </w:tblPr>
      <w:tblGrid>
        <w:gridCol w:w="716"/>
        <w:gridCol w:w="1290"/>
        <w:gridCol w:w="4815"/>
        <w:gridCol w:w="1470"/>
      </w:tblGrid>
      <w:tr>
        <w:tblPrEx>
          <w:shd w:val="clear" w:color="auto" w:fill="FFFFFF"/>
          <w:tblCellMar>
            <w:top w:w="0" w:type="dxa"/>
            <w:left w:w="0" w:type="dxa"/>
            <w:bottom w:w="0" w:type="dxa"/>
            <w:right w:w="0" w:type="dxa"/>
          </w:tblCellMar>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wordWrap w:val="0"/>
              <w:spacing w:before="0" w:beforeAutospacing="0" w:after="75" w:afterAutospacing="0" w:line="525" w:lineRule="atLeast"/>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序号</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wordWrap w:val="0"/>
              <w:spacing w:before="0" w:beforeAutospacing="0" w:after="75" w:afterAutospacing="0" w:line="525" w:lineRule="atLeast"/>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报价轮次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wordWrap w:val="0"/>
              <w:spacing w:before="0" w:beforeAutospacing="0" w:after="75" w:afterAutospacing="0" w:line="525" w:lineRule="atLeast"/>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报价</w:t>
            </w:r>
          </w:p>
        </w:tc>
        <w:tc>
          <w:tcPr>
            <w:tcW w:w="147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wordWrap w:val="0"/>
              <w:spacing w:before="0" w:beforeAutospacing="0" w:after="75" w:afterAutospacing="0" w:line="525" w:lineRule="atLeast"/>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投标人签字</w:t>
            </w:r>
          </w:p>
        </w:tc>
      </w:tr>
      <w:tr>
        <w:tblPrEx>
          <w:shd w:val="clear" w:color="auto" w:fill="FFFFFF"/>
          <w:tblCellMar>
            <w:top w:w="0" w:type="dxa"/>
            <w:left w:w="0" w:type="dxa"/>
            <w:bottom w:w="0" w:type="dxa"/>
            <w:right w:w="0" w:type="dxa"/>
          </w:tblCellMar>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wordWrap w:val="0"/>
              <w:spacing w:before="0" w:beforeAutospacing="0" w:after="75" w:afterAutospacing="0" w:line="525" w:lineRule="atLeast"/>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1</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wordWrap w:val="0"/>
              <w:spacing w:before="0" w:beforeAutospacing="0" w:after="75" w:afterAutospacing="0" w:line="525" w:lineRule="atLeast"/>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首次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wordWrap w:val="0"/>
              <w:spacing w:before="0" w:beforeAutospacing="0" w:after="75" w:afterAutospacing="0" w:line="525" w:lineRule="atLeast"/>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大写（人民币）：</w:t>
            </w:r>
          </w:p>
          <w:p>
            <w:pPr>
              <w:pStyle w:val="11"/>
              <w:wordWrap w:val="0"/>
              <w:spacing w:before="0" w:beforeAutospacing="0" w:after="75" w:afterAutospacing="0" w:line="525" w:lineRule="atLeast"/>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小写（￥）：</w:t>
            </w:r>
          </w:p>
        </w:tc>
        <w:tc>
          <w:tcPr>
            <w:tcW w:w="1470"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wordWrap w:val="0"/>
              <w:jc w:val="left"/>
              <w:rPr>
                <w:rFonts w:ascii="方正仿宋_GBK" w:hAnsi="方正仿宋_GBK" w:eastAsia="方正仿宋_GBK" w:cs="方正仿宋_GBK"/>
                <w:color w:val="333333"/>
                <w:sz w:val="28"/>
                <w:szCs w:val="28"/>
              </w:rPr>
            </w:pPr>
          </w:p>
        </w:tc>
      </w:tr>
      <w:tr>
        <w:tblPrEx>
          <w:shd w:val="clear" w:color="auto" w:fill="FFFFFF"/>
          <w:tblCellMar>
            <w:top w:w="0" w:type="dxa"/>
            <w:left w:w="0" w:type="dxa"/>
            <w:bottom w:w="0" w:type="dxa"/>
            <w:right w:w="0" w:type="dxa"/>
          </w:tblCellMar>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wordWrap w:val="0"/>
              <w:spacing w:before="0" w:beforeAutospacing="0" w:after="75" w:afterAutospacing="0" w:line="525" w:lineRule="atLeast"/>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2</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wordWrap w:val="0"/>
              <w:spacing w:before="0" w:beforeAutospacing="0" w:after="75" w:afterAutospacing="0" w:line="525" w:lineRule="atLeast"/>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第二次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wordWrap w:val="0"/>
              <w:spacing w:before="0" w:beforeAutospacing="0" w:after="75" w:afterAutospacing="0" w:line="525" w:lineRule="atLeast"/>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大写（人民币）：</w:t>
            </w:r>
          </w:p>
          <w:p>
            <w:pPr>
              <w:pStyle w:val="11"/>
              <w:wordWrap w:val="0"/>
              <w:spacing w:before="0" w:beforeAutospacing="0" w:after="75" w:afterAutospacing="0" w:line="525" w:lineRule="atLeast"/>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小写（￥）：</w:t>
            </w:r>
          </w:p>
        </w:tc>
        <w:tc>
          <w:tcPr>
            <w:tcW w:w="1470"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wordWrap w:val="0"/>
              <w:jc w:val="left"/>
              <w:rPr>
                <w:rFonts w:ascii="方正仿宋_GBK" w:hAnsi="方正仿宋_GBK" w:eastAsia="方正仿宋_GBK" w:cs="方正仿宋_GBK"/>
                <w:color w:val="333333"/>
                <w:sz w:val="28"/>
                <w:szCs w:val="28"/>
              </w:rPr>
            </w:pPr>
          </w:p>
        </w:tc>
      </w:tr>
    </w:tbl>
    <w:p>
      <w:pPr>
        <w:pStyle w:val="11"/>
        <w:shd w:val="clear" w:color="auto" w:fill="FFFFFF"/>
        <w:spacing w:before="0" w:beforeAutospacing="0" w:after="75" w:afterAutospacing="0" w:line="525" w:lineRule="atLeast"/>
        <w:ind w:firstLine="420"/>
        <w:rPr>
          <w:rFonts w:ascii="方正仿宋_GBK" w:hAnsi="方正仿宋_GBK" w:eastAsia="方正仿宋_GBK" w:cs="方正仿宋_GBK"/>
          <w:color w:val="333333"/>
          <w:sz w:val="28"/>
          <w:szCs w:val="28"/>
          <w:shd w:val="clear" w:color="auto" w:fill="FFFFFF"/>
        </w:rPr>
      </w:pPr>
    </w:p>
    <w:p>
      <w:pPr>
        <w:pStyle w:val="11"/>
        <w:shd w:val="clear" w:color="auto" w:fill="FFFFFF"/>
        <w:spacing w:before="0" w:beforeAutospacing="0" w:after="75" w:afterAutospacing="0" w:line="525" w:lineRule="atLeast"/>
        <w:ind w:firstLine="420"/>
        <w:rPr>
          <w:rFonts w:ascii="方正仿宋_GBK" w:hAnsi="方正仿宋_GBK" w:eastAsia="方正仿宋_GBK" w:cs="方正仿宋_GBK"/>
          <w:color w:val="333333"/>
          <w:sz w:val="28"/>
          <w:szCs w:val="28"/>
        </w:rPr>
      </w:pPr>
      <w:r>
        <w:rPr>
          <w:rFonts w:hint="eastAsia" w:ascii="方正仿宋_GBK" w:hAnsi="方正仿宋_GBK" w:eastAsia="方正仿宋_GBK" w:cs="方正仿宋_GBK"/>
          <w:color w:val="333333"/>
          <w:sz w:val="28"/>
          <w:szCs w:val="28"/>
          <w:shd w:val="clear" w:color="auto" w:fill="FFFFFF"/>
        </w:rPr>
        <w:t>投标单位：（盖章）</w:t>
      </w:r>
    </w:p>
    <w:p>
      <w:pPr>
        <w:pStyle w:val="11"/>
        <w:shd w:val="clear" w:color="auto" w:fill="FFFFFF"/>
        <w:spacing w:before="0" w:beforeAutospacing="0" w:after="75" w:afterAutospacing="0" w:line="525" w:lineRule="atLeast"/>
        <w:ind w:firstLine="420"/>
        <w:rPr>
          <w:rFonts w:ascii="方正仿宋_GBK" w:hAnsi="方正仿宋_GBK" w:eastAsia="方正仿宋_GBK" w:cs="方正仿宋_GBK"/>
          <w:color w:val="333333"/>
          <w:sz w:val="28"/>
          <w:szCs w:val="28"/>
        </w:rPr>
      </w:pPr>
      <w:r>
        <w:rPr>
          <w:rFonts w:hint="eastAsia" w:ascii="方正仿宋_GBK" w:hAnsi="方正仿宋_GBK" w:eastAsia="方正仿宋_GBK" w:cs="方正仿宋_GBK"/>
          <w:color w:val="333333"/>
          <w:sz w:val="28"/>
          <w:szCs w:val="28"/>
          <w:shd w:val="clear" w:color="auto" w:fill="FFFFFF"/>
        </w:rPr>
        <w:t>日    期：</w:t>
      </w:r>
    </w:p>
    <w:p>
      <w:pPr>
        <w:pStyle w:val="11"/>
        <w:shd w:val="clear" w:color="auto" w:fill="FFFFFF"/>
        <w:spacing w:before="0" w:beforeAutospacing="0" w:after="75" w:afterAutospacing="0" w:line="525" w:lineRule="atLeast"/>
        <w:ind w:firstLine="420"/>
        <w:rPr>
          <w:rFonts w:ascii="微软雅黑" w:hAnsi="微软雅黑" w:eastAsia="微软雅黑" w:cs="微软雅黑"/>
          <w:color w:val="333333"/>
          <w:sz w:val="27"/>
          <w:szCs w:val="27"/>
          <w:shd w:val="clear" w:color="auto" w:fill="FFFFFF"/>
        </w:rPr>
      </w:pPr>
    </w:p>
    <w:p>
      <w:pPr>
        <w:pStyle w:val="11"/>
        <w:shd w:val="clear" w:color="auto" w:fill="FFFFFF"/>
        <w:spacing w:before="0" w:beforeAutospacing="0" w:after="75" w:afterAutospacing="0" w:line="525" w:lineRule="atLeast"/>
        <w:ind w:firstLine="420"/>
        <w:rPr>
          <w:rFonts w:ascii="微软雅黑" w:hAnsi="微软雅黑" w:eastAsia="微软雅黑" w:cs="微软雅黑"/>
          <w:color w:val="333333"/>
          <w:sz w:val="27"/>
          <w:szCs w:val="27"/>
          <w:shd w:val="clear" w:color="auto" w:fill="FFFFFF"/>
        </w:rPr>
      </w:pPr>
    </w:p>
    <w:p>
      <w:pPr>
        <w:pStyle w:val="11"/>
        <w:shd w:val="clear" w:color="auto" w:fill="FFFFFF"/>
        <w:spacing w:before="0" w:beforeAutospacing="0" w:after="75" w:afterAutospacing="0" w:line="525" w:lineRule="atLeast"/>
        <w:ind w:firstLine="420"/>
        <w:rPr>
          <w:rFonts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注：第二次报价在开标现场填写，</w:t>
      </w:r>
      <w:r>
        <w:rPr>
          <w:rFonts w:hint="eastAsia" w:ascii="方正仿宋_GBK" w:hAnsi="方正仿宋_GBK" w:eastAsia="方正仿宋_GBK" w:cs="方正仿宋_GBK"/>
          <w:color w:val="333333"/>
          <w:sz w:val="28"/>
          <w:szCs w:val="28"/>
          <w:shd w:val="clear" w:color="auto" w:fill="FFFFFF"/>
          <w:lang w:eastAsia="zh-CN"/>
        </w:rPr>
        <w:t>磋商</w:t>
      </w:r>
      <w:r>
        <w:rPr>
          <w:rFonts w:hint="eastAsia" w:ascii="方正仿宋_GBK" w:hAnsi="方正仿宋_GBK" w:eastAsia="方正仿宋_GBK" w:cs="方正仿宋_GBK"/>
          <w:color w:val="333333"/>
          <w:sz w:val="28"/>
          <w:szCs w:val="28"/>
          <w:shd w:val="clear" w:color="auto" w:fill="FFFFFF"/>
        </w:rPr>
        <w:t>响应文件密封提交时只需填写首次</w:t>
      </w:r>
      <w:r>
        <w:rPr>
          <w:rFonts w:hint="eastAsia" w:ascii="方正仿宋_GBK" w:hAnsi="方正仿宋_GBK" w:eastAsia="方正仿宋_GBK" w:cs="方正仿宋_GBK"/>
          <w:color w:val="333333"/>
          <w:sz w:val="28"/>
          <w:szCs w:val="28"/>
          <w:shd w:val="clear" w:color="auto" w:fill="FFFFFF"/>
          <w:lang w:eastAsia="zh-CN"/>
        </w:rPr>
        <w:t>磋商</w:t>
      </w:r>
      <w:r>
        <w:rPr>
          <w:rFonts w:hint="eastAsia" w:ascii="方正仿宋_GBK" w:hAnsi="方正仿宋_GBK" w:eastAsia="方正仿宋_GBK" w:cs="方正仿宋_GBK"/>
          <w:color w:val="333333"/>
          <w:sz w:val="28"/>
          <w:szCs w:val="28"/>
          <w:shd w:val="clear" w:color="auto" w:fill="FFFFFF"/>
        </w:rPr>
        <w:t>报价。</w:t>
      </w:r>
    </w:p>
    <w:p>
      <w:pPr>
        <w:ind w:firstLine="723"/>
        <w:jc w:val="center"/>
        <w:rPr>
          <w:rFonts w:ascii="宋体" w:cs="Times New Roman"/>
          <w:b/>
          <w:bCs/>
          <w:sz w:val="36"/>
          <w:szCs w:val="36"/>
        </w:rPr>
      </w:pPr>
    </w:p>
    <w:p>
      <w:pPr>
        <w:ind w:firstLine="640"/>
        <w:rPr>
          <w:rFonts w:ascii="方正仿宋_GBK" w:hAnsi="方正仿宋_GBK" w:eastAsia="方正仿宋_GBK" w:cs="方正仿宋_GBK"/>
          <w:sz w:val="32"/>
          <w:szCs w:val="32"/>
        </w:rPr>
      </w:pPr>
    </w:p>
    <w:sectPr>
      <w:footerReference r:id="rId3" w:type="default"/>
      <w:pgSz w:w="11906" w:h="16838"/>
      <w:pgMar w:top="1560" w:right="1800" w:bottom="1276" w:left="1800" w:header="851" w:footer="65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C50B25-F645-4C16-8E80-1909243EA2E6}"/>
  </w:font>
  <w:font w:name="黑体">
    <w:panose1 w:val="02010609060101010101"/>
    <w:charset w:val="86"/>
    <w:family w:val="auto"/>
    <w:pitch w:val="default"/>
    <w:sig w:usb0="800002BF" w:usb1="38CF7CFA" w:usb2="00000016" w:usb3="00000000" w:csb0="00040001" w:csb1="00000000"/>
    <w:embedRegular r:id="rId2" w:fontKey="{D786D60E-296B-4A1D-92E3-147D687E2C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FB06670D-4F28-4126-9062-EDAB47AF5553}"/>
  </w:font>
  <w:font w:name="仿宋">
    <w:panose1 w:val="02010609060101010101"/>
    <w:charset w:val="86"/>
    <w:family w:val="auto"/>
    <w:pitch w:val="default"/>
    <w:sig w:usb0="800002BF" w:usb1="38CF7CFA" w:usb2="00000016" w:usb3="00000000" w:csb0="00040001" w:csb1="00000000"/>
    <w:embedRegular r:id="rId4" w:fontKey="{C6086A52-DB6A-4DB6-A8D8-D9A18D9EBD16}"/>
  </w:font>
  <w:font w:name="方正仿宋_GBK">
    <w:panose1 w:val="03000509000000000000"/>
    <w:charset w:val="86"/>
    <w:family w:val="script"/>
    <w:pitch w:val="default"/>
    <w:sig w:usb0="00000001" w:usb1="080E0000" w:usb2="00000000" w:usb3="00000000" w:csb0="00040000" w:csb1="00000000"/>
    <w:embedRegular r:id="rId5" w:fontKey="{DAAB5105-7FF6-457D-B435-4B2DC3C11155}"/>
  </w:font>
  <w:font w:name="仿宋_GB2312">
    <w:panose1 w:val="02010609030101010101"/>
    <w:charset w:val="86"/>
    <w:family w:val="modern"/>
    <w:pitch w:val="default"/>
    <w:sig w:usb0="00000001" w:usb1="080E0000" w:usb2="00000000" w:usb3="00000000" w:csb0="00040000" w:csb1="00000000"/>
    <w:embedRegular r:id="rId6" w:fontKey="{0768FB1C-8457-4C13-817A-38903B326447}"/>
  </w:font>
  <w:font w:name="微软雅黑">
    <w:panose1 w:val="020B0503020204020204"/>
    <w:charset w:val="86"/>
    <w:family w:val="swiss"/>
    <w:pitch w:val="default"/>
    <w:sig w:usb0="80000287" w:usb1="2ACF3C50" w:usb2="00000016" w:usb3="00000000" w:csb0="0004001F" w:csb1="00000000"/>
    <w:embedRegular r:id="rId7" w:fontKey="{A5C0A555-2EDD-4491-B35C-789E2386A3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yZjhlZGRkZDZmY2ViMzQ2MWU3ZTUwYTEzMTQ2MTkifQ=="/>
  </w:docVars>
  <w:rsids>
    <w:rsidRoot w:val="006F1B72"/>
    <w:rsid w:val="00694B08"/>
    <w:rsid w:val="006F1B72"/>
    <w:rsid w:val="007F0841"/>
    <w:rsid w:val="00B729FE"/>
    <w:rsid w:val="00CB7ADB"/>
    <w:rsid w:val="04C70CF7"/>
    <w:rsid w:val="06FF4665"/>
    <w:rsid w:val="073C45FF"/>
    <w:rsid w:val="08980B0E"/>
    <w:rsid w:val="0CA24C36"/>
    <w:rsid w:val="0D232B22"/>
    <w:rsid w:val="210A21F1"/>
    <w:rsid w:val="2B59469D"/>
    <w:rsid w:val="2D5055B9"/>
    <w:rsid w:val="40F74759"/>
    <w:rsid w:val="420237AD"/>
    <w:rsid w:val="4C0D7A79"/>
    <w:rsid w:val="6ECC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link w:val="27"/>
    <w:qFormat/>
    <w:uiPriority w:val="9"/>
    <w:pPr>
      <w:widowControl/>
      <w:jc w:val="center"/>
      <w:outlineLvl w:val="0"/>
    </w:pPr>
    <w:rPr>
      <w:rFonts w:ascii="Times New Roman" w:hAnsi="Times New Roman" w:eastAsia="黑体" w:cs="Times New Roman"/>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sz w:val="32"/>
      <w:szCs w:val="24"/>
    </w:rPr>
  </w:style>
  <w:style w:type="paragraph" w:styleId="3">
    <w:name w:val="Body Text Indent"/>
    <w:basedOn w:val="1"/>
    <w:qFormat/>
    <w:uiPriority w:val="99"/>
    <w:pPr>
      <w:spacing w:after="120"/>
      <w:ind w:left="420" w:leftChars="200"/>
    </w:pPr>
  </w:style>
  <w:style w:type="paragraph" w:styleId="5">
    <w:name w:val="Document Map"/>
    <w:basedOn w:val="1"/>
    <w:link w:val="28"/>
    <w:qFormat/>
    <w:uiPriority w:val="99"/>
    <w:rPr>
      <w:rFonts w:ascii="宋体"/>
      <w:sz w:val="18"/>
      <w:szCs w:val="18"/>
    </w:rPr>
  </w:style>
  <w:style w:type="paragraph" w:styleId="6">
    <w:name w:val="Balloon Text"/>
    <w:basedOn w:val="1"/>
    <w:link w:val="19"/>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envelope return"/>
    <w:basedOn w:val="1"/>
    <w:qFormat/>
    <w:uiPriority w:val="99"/>
    <w:pPr>
      <w:snapToGrid w:val="0"/>
    </w:pPr>
    <w:rPr>
      <w:rFonts w:ascii="Arial" w:hAnsi="Arial"/>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style>
  <w:style w:type="paragraph" w:styleId="1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0000FF"/>
      <w:u w:val="single"/>
    </w:rPr>
  </w:style>
  <w:style w:type="character" w:customStyle="1" w:styleId="16">
    <w:name w:val="页眉 字符"/>
    <w:basedOn w:val="14"/>
    <w:link w:val="9"/>
    <w:qFormat/>
    <w:uiPriority w:val="99"/>
    <w:rPr>
      <w:sz w:val="18"/>
      <w:szCs w:val="18"/>
    </w:rPr>
  </w:style>
  <w:style w:type="character" w:customStyle="1" w:styleId="17">
    <w:name w:val="页脚 字符"/>
    <w:basedOn w:val="14"/>
    <w:link w:val="7"/>
    <w:qFormat/>
    <w:uiPriority w:val="99"/>
    <w:rPr>
      <w:sz w:val="18"/>
      <w:szCs w:val="18"/>
    </w:rPr>
  </w:style>
  <w:style w:type="paragraph" w:customStyle="1" w:styleId="18">
    <w:name w:val="p0"/>
    <w:basedOn w:val="1"/>
    <w:qFormat/>
    <w:uiPriority w:val="0"/>
    <w:pPr>
      <w:widowControl/>
    </w:pPr>
    <w:rPr>
      <w:rFonts w:cs="Calibri"/>
      <w:kern w:val="0"/>
      <w:szCs w:val="21"/>
    </w:rPr>
  </w:style>
  <w:style w:type="character" w:customStyle="1" w:styleId="19">
    <w:name w:val="批注框文本 字符"/>
    <w:basedOn w:val="14"/>
    <w:link w:val="6"/>
    <w:qFormat/>
    <w:uiPriority w:val="99"/>
    <w:rPr>
      <w:sz w:val="18"/>
      <w:szCs w:val="18"/>
    </w:rPr>
  </w:style>
  <w:style w:type="paragraph" w:customStyle="1" w:styleId="20">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 w:type="paragraph" w:styleId="21">
    <w:name w:val="List Paragraph"/>
    <w:basedOn w:val="1"/>
    <w:qFormat/>
    <w:uiPriority w:val="34"/>
    <w:pPr>
      <w:ind w:firstLine="420" w:firstLineChars="200"/>
    </w:pPr>
  </w:style>
  <w:style w:type="table" w:customStyle="1" w:styleId="22">
    <w:name w:val="网格型1"/>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内容正文"/>
    <w:basedOn w:val="1"/>
    <w:qFormat/>
    <w:uiPriority w:val="0"/>
    <w:pPr>
      <w:snapToGrid w:val="0"/>
      <w:ind w:firstLine="200" w:firstLineChars="200"/>
      <w:contextualSpacing/>
      <w:jc w:val="left"/>
    </w:pPr>
    <w:rPr>
      <w:rFonts w:ascii="仿宋" w:hAnsi="仿宋" w:eastAsia="仿宋"/>
      <w:sz w:val="28"/>
      <w:szCs w:val="28"/>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11"/>
    <w:basedOn w:val="14"/>
    <w:qFormat/>
    <w:uiPriority w:val="0"/>
    <w:rPr>
      <w:rFonts w:hint="default" w:ascii="Times New Roman" w:hAnsi="Times New Roman" w:cs="Times New Roman"/>
      <w:color w:val="000000"/>
      <w:sz w:val="22"/>
      <w:szCs w:val="22"/>
      <w:u w:val="none"/>
    </w:rPr>
  </w:style>
  <w:style w:type="character" w:customStyle="1" w:styleId="26">
    <w:name w:val="font61"/>
    <w:basedOn w:val="14"/>
    <w:qFormat/>
    <w:uiPriority w:val="0"/>
    <w:rPr>
      <w:rFonts w:hint="eastAsia" w:ascii="宋体" w:hAnsi="宋体" w:eastAsia="宋体" w:cs="宋体"/>
      <w:color w:val="000000"/>
      <w:sz w:val="22"/>
      <w:szCs w:val="22"/>
      <w:u w:val="none"/>
    </w:rPr>
  </w:style>
  <w:style w:type="character" w:customStyle="1" w:styleId="27">
    <w:name w:val="标题 1 字符"/>
    <w:basedOn w:val="14"/>
    <w:link w:val="4"/>
    <w:qFormat/>
    <w:uiPriority w:val="9"/>
    <w:rPr>
      <w:rFonts w:eastAsia="黑体"/>
      <w:kern w:val="2"/>
      <w:sz w:val="44"/>
      <w:szCs w:val="44"/>
    </w:rPr>
  </w:style>
  <w:style w:type="character" w:customStyle="1" w:styleId="28">
    <w:name w:val="文档结构图 字符"/>
    <w:basedOn w:val="14"/>
    <w:link w:val="5"/>
    <w:qFormat/>
    <w:uiPriority w:val="99"/>
    <w:rPr>
      <w:rFonts w:ascii="宋体" w:hAnsi="Calibri" w:cs="宋体"/>
      <w:kern w:val="2"/>
      <w:sz w:val="18"/>
      <w:szCs w:val="18"/>
    </w:rPr>
  </w:style>
  <w:style w:type="paragraph" w:customStyle="1" w:styleId="29">
    <w:name w:val="正文1"/>
    <w:basedOn w:val="1"/>
    <w:qFormat/>
    <w:uiPriority w:val="0"/>
    <w:pPr>
      <w:spacing w:line="360" w:lineRule="auto"/>
      <w:ind w:firstLine="361"/>
    </w:pPr>
    <w:rPr>
      <w:rFonts w:ascii="宋体" w:hAnsi="宋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2CEC0-5B04-4513-AE10-FD0567965081}">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2327</Words>
  <Characters>2376</Characters>
  <Lines>14</Lines>
  <Paragraphs>4</Paragraphs>
  <TotalTime>2</TotalTime>
  <ScaleCrop>false</ScaleCrop>
  <LinksUpToDate>false</LinksUpToDate>
  <CharactersWithSpaces>2499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2022-09-16T03:00:00Z</dcterms:created>
  <dc:creator>USER</dc:creator>
  <cp:lastModifiedBy>Administrator</cp:lastModifiedBy>
  <cp:lastPrinted>2022-08-16T03:06:00Z</cp:lastPrinted>
  <dcterms:modified xsi:type="dcterms:W3CDTF">2025-12-05T09:13:40Z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423375864_btnclosed</vt:lpwstr>
  </property>
  <property fmtid="{D5CDD505-2E9C-101B-9397-08002B2CF9AE}" pid="3" name="KSOProductBuildVer">
    <vt:lpwstr>2052-11.8.2.12085</vt:lpwstr>
  </property>
  <property fmtid="{D5CDD505-2E9C-101B-9397-08002B2CF9AE}" pid="4" name="ICV">
    <vt:lpwstr>2F655BFD13C04E45A5CF0DE42A787E80_13</vt:lpwstr>
  </property>
  <property fmtid="{D5CDD505-2E9C-101B-9397-08002B2CF9AE}" pid="5" name="KSOTemplateDocerSaveRecord">
    <vt:lpwstr>eyJoZGlkIjoiYzUyZjhlZGRkZDZmY2ViMzQ2MWU3ZTUwYTEzMTQ2MTkiLCJ1c2VySWQiOiIxNjk3Mzg1MTg4In0=</vt:lpwstr>
  </property>
</Properties>
</file>