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2C977" w14:textId="77777777" w:rsidR="008F6EF9" w:rsidRDefault="00FA22EE">
      <w:pPr>
        <w:spacing w:line="360" w:lineRule="auto"/>
        <w:jc w:val="center"/>
        <w:rPr>
          <w:rStyle w:val="NormalCharacter"/>
          <w:rFonts w:ascii="宋体" w:eastAsia="宋体" w:hAnsi="宋体" w:cs="宋体"/>
          <w:b/>
          <w:sz w:val="32"/>
          <w:szCs w:val="32"/>
        </w:rPr>
      </w:pPr>
      <w:r>
        <w:rPr>
          <w:rStyle w:val="NormalCharacter"/>
          <w:rFonts w:ascii="宋体" w:eastAsia="宋体" w:hAnsi="宋体" w:cs="宋体" w:hint="eastAsia"/>
          <w:b/>
          <w:sz w:val="32"/>
          <w:szCs w:val="32"/>
        </w:rPr>
        <w:t>2026年公共地名地址服务平台运维服务项目需求</w:t>
      </w:r>
    </w:p>
    <w:p w14:paraId="68905E27" w14:textId="77777777" w:rsidR="008F6EF9" w:rsidRDefault="00FA22EE">
      <w:pPr>
        <w:spacing w:line="360" w:lineRule="auto"/>
        <w:ind w:firstLineChars="200" w:firstLine="482"/>
        <w:rPr>
          <w:rFonts w:ascii="宋体" w:eastAsia="宋体" w:hAnsi="宋体" w:cs="宋体"/>
          <w:b/>
          <w:sz w:val="24"/>
        </w:rPr>
      </w:pPr>
      <w:r>
        <w:rPr>
          <w:rFonts w:ascii="宋体" w:eastAsia="宋体" w:hAnsi="宋体" w:cs="宋体" w:hint="eastAsia"/>
          <w:b/>
          <w:sz w:val="24"/>
        </w:rPr>
        <w:t>一、项目背景</w:t>
      </w:r>
    </w:p>
    <w:p w14:paraId="063B030C" w14:textId="77777777" w:rsidR="008F6EF9" w:rsidRDefault="00FA22EE">
      <w:pPr>
        <w:spacing w:line="360" w:lineRule="auto"/>
        <w:ind w:firstLineChars="200" w:firstLine="480"/>
        <w:rPr>
          <w:rFonts w:ascii="宋体" w:eastAsia="宋体" w:hAnsi="宋体" w:cs="宋体"/>
          <w:kern w:val="0"/>
          <w:sz w:val="24"/>
        </w:rPr>
      </w:pPr>
      <w:bookmarkStart w:id="0" w:name="OLE_LINK6"/>
      <w:bookmarkStart w:id="1" w:name="OLE_LINK5"/>
      <w:bookmarkStart w:id="2" w:name="OLE_LINK20"/>
      <w:r>
        <w:rPr>
          <w:rFonts w:ascii="宋体" w:eastAsia="宋体" w:hAnsi="宋体" w:cs="宋体" w:hint="eastAsia"/>
          <w:kern w:val="0"/>
          <w:sz w:val="24"/>
        </w:rPr>
        <w:t>南通市公共地名地址服务平台</w:t>
      </w:r>
      <w:bookmarkEnd w:id="0"/>
      <w:bookmarkEnd w:id="1"/>
      <w:r>
        <w:rPr>
          <w:rFonts w:ascii="宋体" w:eastAsia="宋体" w:hAnsi="宋体" w:cs="宋体" w:hint="eastAsia"/>
          <w:kern w:val="0"/>
          <w:sz w:val="24"/>
        </w:rPr>
        <w:t>于2022年12月竣工验收，该平台实现了市县两级公共地名地址数据共享，以及标准地名地址数据在线更新、发布、融合、电子门牌制作、地址解析、地址清洗、地址批量转坐标等功能，为跨部门综合监管场景应用提供了标准地名地址数据支撑服务。目前，平台累计已完成7700多条道路、3000多个小区和510多万条标准地址数据的校核匹配工作。</w:t>
      </w:r>
      <w:bookmarkEnd w:id="2"/>
    </w:p>
    <w:p w14:paraId="6B8358CA" w14:textId="77777777" w:rsidR="008F6EF9" w:rsidRDefault="00FA22EE">
      <w:pPr>
        <w:spacing w:line="360" w:lineRule="auto"/>
        <w:ind w:firstLineChars="200" w:firstLine="482"/>
        <w:rPr>
          <w:rFonts w:ascii="宋体" w:eastAsia="宋体" w:hAnsi="宋体" w:cs="宋体"/>
          <w:b/>
          <w:sz w:val="24"/>
        </w:rPr>
      </w:pPr>
      <w:r>
        <w:rPr>
          <w:rFonts w:ascii="宋体" w:eastAsia="宋体" w:hAnsi="宋体" w:cs="宋体" w:hint="eastAsia"/>
          <w:b/>
          <w:sz w:val="24"/>
        </w:rPr>
        <w:t>二、项目需求</w:t>
      </w:r>
    </w:p>
    <w:p w14:paraId="30A0B024" w14:textId="77777777" w:rsidR="008F6EF9" w:rsidRDefault="00FA22EE">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落实平台日常运维管理，保障平台全年正常运行和故障及时修复；</w:t>
      </w:r>
      <w:bookmarkStart w:id="3" w:name="OLE_LINK11"/>
      <w:bookmarkStart w:id="4" w:name="OLE_LINK10"/>
      <w:r>
        <w:rPr>
          <w:rFonts w:ascii="宋体" w:eastAsia="宋体" w:hAnsi="宋体" w:cs="宋体" w:hint="eastAsia"/>
          <w:kern w:val="0"/>
          <w:sz w:val="24"/>
        </w:rPr>
        <w:t>配合公安、民政、住建、交通等平台使用部门，做好平台相关功能培训、应用工作</w:t>
      </w:r>
      <w:bookmarkEnd w:id="3"/>
      <w:bookmarkEnd w:id="4"/>
      <w:r>
        <w:rPr>
          <w:rFonts w:ascii="宋体" w:eastAsia="宋体" w:hAnsi="宋体" w:cs="宋体" w:hint="eastAsia"/>
          <w:kern w:val="0"/>
          <w:sz w:val="24"/>
        </w:rPr>
        <w:t>；</w:t>
      </w:r>
      <w:bookmarkStart w:id="5" w:name="OLE_LINK13"/>
      <w:bookmarkStart w:id="6" w:name="OLE_LINK12"/>
      <w:r>
        <w:rPr>
          <w:rFonts w:ascii="宋体" w:eastAsia="宋体" w:hAnsi="宋体" w:cs="宋体" w:hint="eastAsia"/>
          <w:kern w:val="0"/>
          <w:sz w:val="24"/>
        </w:rPr>
        <w:t>配合</w:t>
      </w:r>
      <w:bookmarkStart w:id="7" w:name="OLE_LINK8"/>
      <w:bookmarkStart w:id="8" w:name="OLE_LINK9"/>
      <w:bookmarkStart w:id="9" w:name="OLE_LINK7"/>
      <w:r>
        <w:rPr>
          <w:rFonts w:ascii="宋体" w:eastAsia="宋体" w:hAnsi="宋体" w:cs="宋体" w:hint="eastAsia"/>
          <w:kern w:val="0"/>
          <w:sz w:val="24"/>
        </w:rPr>
        <w:t>市域指挥中心</w:t>
      </w:r>
      <w:bookmarkEnd w:id="7"/>
      <w:bookmarkEnd w:id="8"/>
      <w:r>
        <w:rPr>
          <w:rFonts w:ascii="宋体" w:eastAsia="宋体" w:hAnsi="宋体" w:cs="宋体" w:hint="eastAsia"/>
          <w:kern w:val="0"/>
          <w:sz w:val="24"/>
        </w:rPr>
        <w:t>做好</w:t>
      </w:r>
      <w:bookmarkEnd w:id="9"/>
      <w:r>
        <w:rPr>
          <w:rFonts w:ascii="宋体" w:eastAsia="宋体" w:hAnsi="宋体" w:cs="宋体" w:hint="eastAsia"/>
          <w:kern w:val="0"/>
          <w:sz w:val="24"/>
        </w:rPr>
        <w:t>平台已建数据资源的编目发布、共享使用等工作，按需开发和开放必要的数据接口并提供配套的对接服务；</w:t>
      </w:r>
      <w:bookmarkEnd w:id="5"/>
      <w:bookmarkEnd w:id="6"/>
      <w:r>
        <w:rPr>
          <w:rFonts w:ascii="宋体" w:eastAsia="宋体" w:hAnsi="宋体" w:cs="宋体" w:hint="eastAsia"/>
          <w:kern w:val="0"/>
          <w:sz w:val="24"/>
        </w:rPr>
        <w:t>负责根据市域指挥中心需求，落实“苏服办·南通”的南通地图应用功能升级工作；配合市域指挥中心做好平台安全风险评估、等保测评、商用密码应用测评、安全问题整改等工作，保障平台网络和数据安全。</w:t>
      </w:r>
    </w:p>
    <w:tbl>
      <w:tblPr>
        <w:tblStyle w:val="a3"/>
        <w:tblW w:w="5000" w:type="pct"/>
        <w:jc w:val="center"/>
        <w:tblLook w:val="04A0" w:firstRow="1" w:lastRow="0" w:firstColumn="1" w:lastColumn="0" w:noHBand="0" w:noVBand="1"/>
      </w:tblPr>
      <w:tblGrid>
        <w:gridCol w:w="1035"/>
        <w:gridCol w:w="1663"/>
        <w:gridCol w:w="5824"/>
      </w:tblGrid>
      <w:tr w:rsidR="008F6EF9" w14:paraId="261D585F" w14:textId="77777777">
        <w:trPr>
          <w:jc w:val="center"/>
        </w:trPr>
        <w:tc>
          <w:tcPr>
            <w:tcW w:w="607" w:type="pct"/>
            <w:vAlign w:val="center"/>
          </w:tcPr>
          <w:p w14:paraId="3C644B19" w14:textId="77777777" w:rsidR="008F6EF9" w:rsidRDefault="00FA22EE" w:rsidP="007A352D">
            <w:pPr>
              <w:adjustRightInd w:val="0"/>
              <w:snapToGrid w:val="0"/>
              <w:jc w:val="center"/>
              <w:rPr>
                <w:rFonts w:ascii="宋体" w:eastAsia="宋体" w:hAnsi="宋体" w:cs="宋体"/>
                <w:b/>
                <w:sz w:val="24"/>
              </w:rPr>
            </w:pPr>
            <w:r>
              <w:rPr>
                <w:rFonts w:ascii="宋体" w:eastAsia="宋体" w:hAnsi="宋体" w:cs="宋体" w:hint="eastAsia"/>
                <w:b/>
                <w:sz w:val="24"/>
              </w:rPr>
              <w:t>序号</w:t>
            </w:r>
          </w:p>
        </w:tc>
        <w:tc>
          <w:tcPr>
            <w:tcW w:w="976" w:type="pct"/>
            <w:vAlign w:val="center"/>
          </w:tcPr>
          <w:p w14:paraId="64987CB1" w14:textId="3583E4D7" w:rsidR="008F6EF9" w:rsidRDefault="00FA22EE" w:rsidP="007779C7">
            <w:pPr>
              <w:adjustRightInd w:val="0"/>
              <w:snapToGrid w:val="0"/>
              <w:jc w:val="center"/>
              <w:rPr>
                <w:rFonts w:ascii="宋体" w:eastAsia="宋体" w:hAnsi="宋体" w:cs="宋体"/>
                <w:b/>
                <w:sz w:val="24"/>
              </w:rPr>
            </w:pPr>
            <w:r>
              <w:rPr>
                <w:rFonts w:ascii="宋体" w:eastAsia="宋体" w:hAnsi="宋体" w:cs="宋体" w:hint="eastAsia"/>
                <w:b/>
                <w:sz w:val="24"/>
              </w:rPr>
              <w:t>工作内容</w:t>
            </w:r>
          </w:p>
        </w:tc>
        <w:tc>
          <w:tcPr>
            <w:tcW w:w="3417" w:type="pct"/>
            <w:vAlign w:val="center"/>
          </w:tcPr>
          <w:p w14:paraId="311B0610" w14:textId="77777777" w:rsidR="008F6EF9" w:rsidRDefault="00FA22EE" w:rsidP="007A352D">
            <w:pPr>
              <w:adjustRightInd w:val="0"/>
              <w:snapToGrid w:val="0"/>
              <w:jc w:val="center"/>
              <w:rPr>
                <w:rFonts w:ascii="宋体" w:eastAsia="宋体" w:hAnsi="宋体" w:cs="宋体"/>
                <w:b/>
                <w:sz w:val="24"/>
              </w:rPr>
            </w:pPr>
            <w:r>
              <w:rPr>
                <w:rFonts w:ascii="宋体" w:eastAsia="宋体" w:hAnsi="宋体" w:cs="宋体" w:hint="eastAsia"/>
                <w:b/>
                <w:sz w:val="24"/>
              </w:rPr>
              <w:t>详细要求</w:t>
            </w:r>
          </w:p>
        </w:tc>
      </w:tr>
      <w:tr w:rsidR="008F6EF9" w14:paraId="3504E120" w14:textId="77777777">
        <w:trPr>
          <w:jc w:val="center"/>
        </w:trPr>
        <w:tc>
          <w:tcPr>
            <w:tcW w:w="607" w:type="pct"/>
            <w:vAlign w:val="center"/>
          </w:tcPr>
          <w:p w14:paraId="770FAC83" w14:textId="77777777" w:rsidR="008F6EF9" w:rsidRDefault="00FA22EE" w:rsidP="007A352D">
            <w:pPr>
              <w:adjustRightInd w:val="0"/>
              <w:snapToGrid w:val="0"/>
              <w:jc w:val="center"/>
              <w:rPr>
                <w:rFonts w:ascii="宋体" w:eastAsia="宋体" w:hAnsi="宋体" w:cs="宋体"/>
                <w:sz w:val="24"/>
              </w:rPr>
            </w:pPr>
            <w:r>
              <w:rPr>
                <w:rFonts w:ascii="宋体" w:eastAsia="宋体" w:hAnsi="宋体" w:cs="宋体" w:hint="eastAsia"/>
                <w:sz w:val="24"/>
              </w:rPr>
              <w:t>1</w:t>
            </w:r>
          </w:p>
        </w:tc>
        <w:tc>
          <w:tcPr>
            <w:tcW w:w="976" w:type="pct"/>
            <w:vAlign w:val="center"/>
          </w:tcPr>
          <w:p w14:paraId="16D15873" w14:textId="77777777" w:rsidR="008F6EF9" w:rsidRDefault="00FA22EE" w:rsidP="007A352D">
            <w:pPr>
              <w:pStyle w:val="a4"/>
              <w:adjustRightInd w:val="0"/>
              <w:snapToGrid w:val="0"/>
              <w:ind w:firstLineChars="0" w:firstLine="0"/>
              <w:jc w:val="center"/>
              <w:rPr>
                <w:rFonts w:ascii="宋体" w:eastAsia="宋体" w:hAnsi="宋体" w:cs="宋体"/>
                <w:sz w:val="24"/>
                <w:szCs w:val="24"/>
              </w:rPr>
            </w:pPr>
            <w:r>
              <w:rPr>
                <w:rFonts w:ascii="宋体" w:eastAsia="宋体" w:hAnsi="宋体" w:cs="宋体" w:hint="eastAsia"/>
                <w:sz w:val="24"/>
                <w:szCs w:val="24"/>
              </w:rPr>
              <w:t>平台运维质保</w:t>
            </w:r>
          </w:p>
        </w:tc>
        <w:tc>
          <w:tcPr>
            <w:tcW w:w="3417" w:type="pct"/>
            <w:vAlign w:val="center"/>
          </w:tcPr>
          <w:p w14:paraId="70C7293F" w14:textId="77777777" w:rsidR="008F6EF9" w:rsidRDefault="00FA22EE" w:rsidP="007A352D">
            <w:pPr>
              <w:pStyle w:val="a4"/>
              <w:adjustRightInd w:val="0"/>
              <w:snapToGrid w:val="0"/>
              <w:ind w:firstLineChars="0" w:firstLine="0"/>
              <w:jc w:val="left"/>
              <w:rPr>
                <w:rFonts w:ascii="宋体" w:eastAsia="宋体" w:hAnsi="宋体" w:cs="宋体"/>
                <w:sz w:val="24"/>
                <w:szCs w:val="24"/>
              </w:rPr>
            </w:pPr>
            <w:r>
              <w:rPr>
                <w:rFonts w:ascii="宋体" w:eastAsia="宋体" w:hAnsi="宋体" w:cs="宋体" w:hint="eastAsia"/>
                <w:sz w:val="24"/>
                <w:szCs w:val="24"/>
              </w:rPr>
              <w:t>（1）开展日常巡检，做好记录和反馈；</w:t>
            </w:r>
            <w:r>
              <w:rPr>
                <w:rFonts w:ascii="宋体" w:eastAsia="宋体" w:hAnsi="宋体" w:cs="宋体" w:hint="eastAsia"/>
                <w:sz w:val="24"/>
                <w:szCs w:val="24"/>
              </w:rPr>
              <w:br/>
              <w:t>（2）及时处置平台发现的功能问题；</w:t>
            </w:r>
            <w:r>
              <w:rPr>
                <w:rFonts w:ascii="宋体" w:eastAsia="宋体" w:hAnsi="宋体" w:cs="宋体" w:hint="eastAsia"/>
                <w:sz w:val="24"/>
                <w:szCs w:val="24"/>
              </w:rPr>
              <w:br/>
              <w:t>（3）配合指挥中心落实平台演示汇报接待</w:t>
            </w:r>
            <w:bookmarkStart w:id="10" w:name="_GoBack"/>
            <w:bookmarkEnd w:id="10"/>
            <w:r>
              <w:rPr>
                <w:rFonts w:ascii="宋体" w:eastAsia="宋体" w:hAnsi="宋体" w:cs="宋体" w:hint="eastAsia"/>
                <w:sz w:val="24"/>
                <w:szCs w:val="24"/>
              </w:rPr>
              <w:t>工作。</w:t>
            </w:r>
          </w:p>
        </w:tc>
      </w:tr>
      <w:tr w:rsidR="008F6EF9" w14:paraId="1A9E5857" w14:textId="77777777">
        <w:trPr>
          <w:jc w:val="center"/>
        </w:trPr>
        <w:tc>
          <w:tcPr>
            <w:tcW w:w="607" w:type="pct"/>
            <w:vAlign w:val="center"/>
          </w:tcPr>
          <w:p w14:paraId="12BF753A" w14:textId="77777777" w:rsidR="008F6EF9" w:rsidRDefault="00FA22EE" w:rsidP="007A352D">
            <w:pPr>
              <w:adjustRightInd w:val="0"/>
              <w:snapToGrid w:val="0"/>
              <w:jc w:val="center"/>
              <w:rPr>
                <w:rFonts w:ascii="宋体" w:eastAsia="宋体" w:hAnsi="宋体" w:cs="宋体"/>
                <w:sz w:val="24"/>
              </w:rPr>
            </w:pPr>
            <w:r>
              <w:rPr>
                <w:rFonts w:ascii="宋体" w:eastAsia="宋体" w:hAnsi="宋体" w:cs="宋体" w:hint="eastAsia"/>
                <w:sz w:val="24"/>
              </w:rPr>
              <w:t>2</w:t>
            </w:r>
          </w:p>
        </w:tc>
        <w:tc>
          <w:tcPr>
            <w:tcW w:w="976" w:type="pct"/>
            <w:vAlign w:val="center"/>
          </w:tcPr>
          <w:p w14:paraId="6AF5C107" w14:textId="77777777" w:rsidR="008F6EF9" w:rsidRDefault="00FA22EE" w:rsidP="007A352D">
            <w:pPr>
              <w:pStyle w:val="a4"/>
              <w:adjustRightInd w:val="0"/>
              <w:snapToGrid w:val="0"/>
              <w:ind w:firstLineChars="0" w:firstLine="0"/>
              <w:jc w:val="center"/>
              <w:rPr>
                <w:rFonts w:ascii="宋体" w:eastAsia="宋体" w:hAnsi="宋体" w:cs="宋体"/>
                <w:sz w:val="24"/>
                <w:szCs w:val="24"/>
              </w:rPr>
            </w:pPr>
            <w:r>
              <w:rPr>
                <w:rFonts w:ascii="宋体" w:eastAsia="宋体" w:hAnsi="宋体" w:cs="宋体" w:hint="eastAsia"/>
                <w:sz w:val="24"/>
                <w:szCs w:val="24"/>
              </w:rPr>
              <w:t>平台运行保障</w:t>
            </w:r>
          </w:p>
        </w:tc>
        <w:tc>
          <w:tcPr>
            <w:tcW w:w="3417" w:type="pct"/>
            <w:vAlign w:val="center"/>
          </w:tcPr>
          <w:p w14:paraId="4CF5C0EF" w14:textId="77777777" w:rsidR="008F6EF9" w:rsidRDefault="00FA22EE" w:rsidP="007A352D">
            <w:pPr>
              <w:adjustRightInd w:val="0"/>
              <w:snapToGrid w:val="0"/>
              <w:rPr>
                <w:rFonts w:ascii="宋体" w:eastAsia="宋体" w:hAnsi="宋体" w:cs="宋体"/>
                <w:sz w:val="24"/>
              </w:rPr>
            </w:pPr>
            <w:bookmarkStart w:id="11" w:name="OLE_LINK21"/>
            <w:bookmarkStart w:id="12" w:name="OLE_LINK22"/>
            <w:bookmarkStart w:id="13" w:name="OLE_LINK23"/>
            <w:r>
              <w:rPr>
                <w:rFonts w:ascii="宋体" w:eastAsia="宋体" w:hAnsi="宋体" w:cs="宋体" w:hint="eastAsia"/>
                <w:sz w:val="24"/>
              </w:rPr>
              <w:t>（1）</w:t>
            </w:r>
            <w:bookmarkEnd w:id="11"/>
            <w:bookmarkEnd w:id="12"/>
            <w:bookmarkEnd w:id="13"/>
            <w:r>
              <w:rPr>
                <w:rFonts w:ascii="宋体" w:eastAsia="宋体" w:hAnsi="宋体" w:cs="宋体" w:hint="eastAsia"/>
                <w:sz w:val="24"/>
              </w:rPr>
              <w:t>配合公安、民政、住建、交通、指挥中心等部门落实平台应用，解决平台应用中遇到的技术和数据问题；</w:t>
            </w:r>
          </w:p>
          <w:p w14:paraId="3B58A7BA" w14:textId="77777777" w:rsidR="008F6EF9" w:rsidRDefault="00FA22EE" w:rsidP="007A352D">
            <w:pPr>
              <w:adjustRightInd w:val="0"/>
              <w:snapToGrid w:val="0"/>
              <w:jc w:val="left"/>
              <w:rPr>
                <w:rFonts w:ascii="宋体" w:eastAsia="宋体" w:hAnsi="宋体" w:cs="宋体"/>
                <w:sz w:val="24"/>
              </w:rPr>
            </w:pPr>
            <w:r>
              <w:rPr>
                <w:rFonts w:ascii="宋体" w:eastAsia="宋体" w:hAnsi="宋体" w:cs="宋体" w:hint="eastAsia"/>
                <w:sz w:val="24"/>
              </w:rPr>
              <w:t>（2）每年至少组织1次集中培训;</w:t>
            </w:r>
            <w:r>
              <w:rPr>
                <w:rFonts w:ascii="宋体" w:eastAsia="宋体" w:hAnsi="宋体" w:cs="宋体" w:hint="eastAsia"/>
                <w:sz w:val="24"/>
              </w:rPr>
              <w:br/>
              <w:t>（3）负责配合市域指挥中心及数据订阅部门做好平台已建数据资源的编目、发布、共享使用等工作。</w:t>
            </w:r>
          </w:p>
        </w:tc>
      </w:tr>
      <w:tr w:rsidR="008F6EF9" w14:paraId="1D1E0E43" w14:textId="77777777">
        <w:trPr>
          <w:jc w:val="center"/>
        </w:trPr>
        <w:tc>
          <w:tcPr>
            <w:tcW w:w="607" w:type="pct"/>
            <w:vAlign w:val="center"/>
          </w:tcPr>
          <w:p w14:paraId="19258652" w14:textId="77777777" w:rsidR="008F6EF9" w:rsidRDefault="00FA22EE" w:rsidP="007A352D">
            <w:pPr>
              <w:adjustRightInd w:val="0"/>
              <w:snapToGrid w:val="0"/>
              <w:jc w:val="center"/>
              <w:rPr>
                <w:rFonts w:ascii="宋体" w:eastAsia="宋体" w:hAnsi="宋体" w:cs="宋体"/>
                <w:sz w:val="24"/>
              </w:rPr>
            </w:pPr>
            <w:r>
              <w:rPr>
                <w:rFonts w:ascii="宋体" w:eastAsia="宋体" w:hAnsi="宋体" w:cs="宋体" w:hint="eastAsia"/>
                <w:sz w:val="24"/>
              </w:rPr>
              <w:t>3</w:t>
            </w:r>
          </w:p>
        </w:tc>
        <w:tc>
          <w:tcPr>
            <w:tcW w:w="976" w:type="pct"/>
            <w:vAlign w:val="center"/>
          </w:tcPr>
          <w:p w14:paraId="595DFB91" w14:textId="77777777" w:rsidR="008F6EF9" w:rsidRDefault="00FA22EE" w:rsidP="007A352D">
            <w:pPr>
              <w:pStyle w:val="a4"/>
              <w:adjustRightInd w:val="0"/>
              <w:snapToGrid w:val="0"/>
              <w:ind w:firstLineChars="0" w:firstLine="0"/>
              <w:jc w:val="center"/>
              <w:rPr>
                <w:rFonts w:ascii="宋体" w:eastAsia="宋体" w:hAnsi="宋体" w:cs="宋体"/>
                <w:sz w:val="24"/>
                <w:szCs w:val="24"/>
              </w:rPr>
            </w:pPr>
            <w:r>
              <w:rPr>
                <w:rFonts w:ascii="宋体" w:eastAsia="宋体" w:hAnsi="宋体" w:cs="宋体" w:hint="eastAsia"/>
                <w:sz w:val="24"/>
                <w:szCs w:val="24"/>
              </w:rPr>
              <w:t>配套API接口服务</w:t>
            </w:r>
          </w:p>
        </w:tc>
        <w:tc>
          <w:tcPr>
            <w:tcW w:w="3417" w:type="pct"/>
            <w:vAlign w:val="center"/>
          </w:tcPr>
          <w:p w14:paraId="7A3AD27F" w14:textId="77777777" w:rsidR="008F6EF9" w:rsidRDefault="00FA22EE" w:rsidP="007A352D">
            <w:pPr>
              <w:adjustRightInd w:val="0"/>
              <w:snapToGrid w:val="0"/>
              <w:rPr>
                <w:rFonts w:ascii="宋体" w:eastAsia="宋体" w:hAnsi="宋体" w:cs="宋体"/>
                <w:sz w:val="24"/>
              </w:rPr>
            </w:pPr>
            <w:r>
              <w:rPr>
                <w:rFonts w:ascii="宋体" w:eastAsia="宋体" w:hAnsi="宋体" w:cs="宋体" w:hint="eastAsia"/>
                <w:sz w:val="24"/>
              </w:rPr>
              <w:t>按需开发和优化地图、地址数据、网格数据等接口，提供配套的API对接服务，并免费提供给委办局使用。</w:t>
            </w:r>
          </w:p>
        </w:tc>
      </w:tr>
      <w:tr w:rsidR="008F6EF9" w14:paraId="33F04E22" w14:textId="77777777">
        <w:trPr>
          <w:jc w:val="center"/>
        </w:trPr>
        <w:tc>
          <w:tcPr>
            <w:tcW w:w="607" w:type="pct"/>
            <w:vAlign w:val="center"/>
          </w:tcPr>
          <w:p w14:paraId="3BB80025" w14:textId="77777777" w:rsidR="008F6EF9" w:rsidRDefault="00FA22EE" w:rsidP="007A352D">
            <w:pPr>
              <w:adjustRightInd w:val="0"/>
              <w:snapToGrid w:val="0"/>
              <w:jc w:val="center"/>
              <w:rPr>
                <w:rFonts w:ascii="宋体" w:eastAsia="宋体" w:hAnsi="宋体" w:cs="宋体"/>
                <w:sz w:val="24"/>
              </w:rPr>
            </w:pPr>
            <w:r>
              <w:rPr>
                <w:rFonts w:ascii="宋体" w:eastAsia="宋体" w:hAnsi="宋体" w:cs="宋体" w:hint="eastAsia"/>
                <w:sz w:val="24"/>
              </w:rPr>
              <w:t>4</w:t>
            </w:r>
          </w:p>
        </w:tc>
        <w:tc>
          <w:tcPr>
            <w:tcW w:w="976" w:type="pct"/>
            <w:vAlign w:val="center"/>
          </w:tcPr>
          <w:p w14:paraId="37B47D7E" w14:textId="77777777" w:rsidR="008F6EF9" w:rsidRDefault="00FA22EE" w:rsidP="007A352D">
            <w:pPr>
              <w:pStyle w:val="a4"/>
              <w:adjustRightInd w:val="0"/>
              <w:snapToGrid w:val="0"/>
              <w:ind w:firstLineChars="0" w:firstLine="0"/>
              <w:jc w:val="center"/>
              <w:rPr>
                <w:rFonts w:ascii="宋体" w:eastAsia="宋体" w:hAnsi="宋体" w:cs="宋体"/>
                <w:sz w:val="24"/>
                <w:szCs w:val="24"/>
              </w:rPr>
            </w:pPr>
            <w:r>
              <w:rPr>
                <w:rFonts w:ascii="宋体" w:eastAsia="宋体" w:hAnsi="宋体" w:cs="宋体" w:hint="eastAsia"/>
                <w:sz w:val="24"/>
                <w:szCs w:val="24"/>
              </w:rPr>
              <w:t>南通地图应用更新拓展</w:t>
            </w:r>
          </w:p>
        </w:tc>
        <w:tc>
          <w:tcPr>
            <w:tcW w:w="3417" w:type="pct"/>
            <w:vAlign w:val="center"/>
          </w:tcPr>
          <w:p w14:paraId="13250FA4" w14:textId="77777777" w:rsidR="008F6EF9" w:rsidRDefault="00FA22EE" w:rsidP="007A352D">
            <w:pPr>
              <w:adjustRightInd w:val="0"/>
              <w:snapToGrid w:val="0"/>
              <w:rPr>
                <w:rFonts w:ascii="宋体" w:eastAsia="宋体" w:hAnsi="宋体" w:cs="宋体"/>
                <w:sz w:val="24"/>
              </w:rPr>
            </w:pPr>
            <w:r>
              <w:rPr>
                <w:rFonts w:ascii="宋体" w:eastAsia="宋体" w:hAnsi="宋体" w:cs="宋体" w:hint="eastAsia"/>
                <w:sz w:val="24"/>
              </w:rPr>
              <w:t>结合指挥中心和委办局场景应用需求，升级“苏服办·南通”南通地图应用功能，结合地名地址基础数据，建设南通本地特色的专题应用。</w:t>
            </w:r>
          </w:p>
        </w:tc>
      </w:tr>
      <w:tr w:rsidR="008F6EF9" w14:paraId="408B6529" w14:textId="77777777">
        <w:trPr>
          <w:jc w:val="center"/>
        </w:trPr>
        <w:tc>
          <w:tcPr>
            <w:tcW w:w="607" w:type="pct"/>
            <w:vAlign w:val="center"/>
          </w:tcPr>
          <w:p w14:paraId="6FA0B358" w14:textId="77777777" w:rsidR="008F6EF9" w:rsidRDefault="00FA22EE" w:rsidP="007A352D">
            <w:pPr>
              <w:adjustRightInd w:val="0"/>
              <w:snapToGrid w:val="0"/>
              <w:jc w:val="center"/>
              <w:rPr>
                <w:rFonts w:ascii="宋体" w:eastAsia="宋体" w:hAnsi="宋体" w:cs="宋体"/>
                <w:sz w:val="24"/>
              </w:rPr>
            </w:pPr>
            <w:r>
              <w:rPr>
                <w:rFonts w:ascii="宋体" w:eastAsia="宋体" w:hAnsi="宋体" w:cs="宋体" w:hint="eastAsia"/>
                <w:sz w:val="24"/>
              </w:rPr>
              <w:t>5.</w:t>
            </w:r>
          </w:p>
        </w:tc>
        <w:tc>
          <w:tcPr>
            <w:tcW w:w="976" w:type="pct"/>
            <w:vAlign w:val="center"/>
          </w:tcPr>
          <w:p w14:paraId="331DA106" w14:textId="77777777" w:rsidR="008F6EF9" w:rsidRDefault="00FA22EE" w:rsidP="007A352D">
            <w:pPr>
              <w:pStyle w:val="a4"/>
              <w:adjustRightInd w:val="0"/>
              <w:snapToGrid w:val="0"/>
              <w:ind w:firstLineChars="0" w:firstLine="0"/>
              <w:jc w:val="center"/>
              <w:rPr>
                <w:rFonts w:ascii="宋体" w:eastAsia="宋体" w:hAnsi="宋体" w:cs="宋体"/>
                <w:sz w:val="24"/>
                <w:szCs w:val="24"/>
              </w:rPr>
            </w:pPr>
            <w:r>
              <w:rPr>
                <w:rFonts w:ascii="宋体" w:eastAsia="宋体" w:hAnsi="宋体" w:cs="宋体" w:hint="eastAsia"/>
                <w:sz w:val="24"/>
                <w:szCs w:val="24"/>
              </w:rPr>
              <w:t>安全运维</w:t>
            </w:r>
          </w:p>
        </w:tc>
        <w:tc>
          <w:tcPr>
            <w:tcW w:w="3417" w:type="pct"/>
            <w:vAlign w:val="center"/>
          </w:tcPr>
          <w:p w14:paraId="032D173E" w14:textId="77777777" w:rsidR="008F6EF9" w:rsidRDefault="00FA22EE" w:rsidP="007A352D">
            <w:pPr>
              <w:adjustRightInd w:val="0"/>
              <w:snapToGrid w:val="0"/>
              <w:rPr>
                <w:rFonts w:ascii="宋体" w:eastAsia="宋体" w:hAnsi="宋体" w:cs="宋体"/>
                <w:sz w:val="24"/>
              </w:rPr>
            </w:pPr>
            <w:r>
              <w:rPr>
                <w:rFonts w:ascii="宋体" w:eastAsia="宋体" w:hAnsi="宋体" w:cs="宋体" w:hint="eastAsia"/>
                <w:sz w:val="24"/>
              </w:rPr>
              <w:t>配合市域指挥中心做好平台安全风险评估、等保测评、商用密码应用测评、安全问题整改等工作，保障平台网络和数据安全。</w:t>
            </w:r>
          </w:p>
        </w:tc>
      </w:tr>
    </w:tbl>
    <w:p w14:paraId="270027DD" w14:textId="77777777" w:rsidR="008F6EF9" w:rsidRDefault="00FA22EE">
      <w:pPr>
        <w:spacing w:line="360" w:lineRule="auto"/>
        <w:ind w:rightChars="-10" w:right="-21" w:firstLineChars="200" w:firstLine="482"/>
        <w:jc w:val="left"/>
        <w:rPr>
          <w:rFonts w:ascii="宋体" w:eastAsia="宋体" w:hAnsi="宋体" w:cs="宋体"/>
          <w:b/>
          <w:sz w:val="24"/>
        </w:rPr>
      </w:pPr>
      <w:r>
        <w:rPr>
          <w:rFonts w:ascii="宋体" w:eastAsia="宋体" w:hAnsi="宋体" w:cs="宋体" w:hint="eastAsia"/>
          <w:b/>
          <w:sz w:val="24"/>
        </w:rPr>
        <w:t>三、</w:t>
      </w:r>
      <w:r>
        <w:rPr>
          <w:rFonts w:ascii="Times New Roman" w:eastAsia="宋体"/>
          <w:b/>
          <w:sz w:val="24"/>
        </w:rPr>
        <w:t>服务</w:t>
      </w:r>
      <w:r>
        <w:rPr>
          <w:rFonts w:eastAsia="宋体" w:hint="eastAsia"/>
          <w:b/>
          <w:sz w:val="24"/>
        </w:rPr>
        <w:t>时间</w:t>
      </w:r>
    </w:p>
    <w:p w14:paraId="457E79D3" w14:textId="33B351F8" w:rsidR="008F6EF9" w:rsidRPr="00FA22EE" w:rsidRDefault="00FA22EE">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自签订合同之日起，为期一年，</w:t>
      </w:r>
      <w:r w:rsidRPr="00FA22EE">
        <w:rPr>
          <w:rFonts w:ascii="宋体" w:eastAsia="宋体" w:hAnsi="宋体" w:cs="宋体" w:hint="eastAsia"/>
          <w:kern w:val="0"/>
          <w:sz w:val="24"/>
        </w:rPr>
        <w:t>合同期满经协商一致后可按财政相关文件规</w:t>
      </w:r>
      <w:r w:rsidRPr="00FA22EE">
        <w:rPr>
          <w:rFonts w:ascii="宋体" w:eastAsia="宋体" w:hAnsi="宋体" w:cs="宋体" w:hint="eastAsia"/>
          <w:kern w:val="0"/>
          <w:sz w:val="24"/>
        </w:rPr>
        <w:lastRenderedPageBreak/>
        <w:t>定续签合同，续签不超过两次</w:t>
      </w:r>
      <w:r>
        <w:rPr>
          <w:rFonts w:ascii="宋体" w:eastAsia="宋体" w:hAnsi="宋体" w:cs="宋体" w:hint="eastAsia"/>
          <w:b/>
          <w:sz w:val="24"/>
        </w:rPr>
        <w:t>。</w:t>
      </w:r>
    </w:p>
    <w:p w14:paraId="146AC500" w14:textId="77777777" w:rsidR="008F6EF9" w:rsidRDefault="00FA22EE">
      <w:pPr>
        <w:spacing w:line="360" w:lineRule="auto"/>
        <w:ind w:rightChars="-10" w:right="-21" w:firstLineChars="200" w:firstLine="482"/>
        <w:jc w:val="left"/>
        <w:rPr>
          <w:rFonts w:ascii="宋体" w:eastAsia="宋体" w:hAnsi="宋体" w:cs="宋体"/>
          <w:b/>
          <w:sz w:val="24"/>
        </w:rPr>
      </w:pPr>
      <w:r>
        <w:rPr>
          <w:rFonts w:ascii="宋体" w:eastAsia="宋体" w:hAnsi="宋体" w:cs="宋体" w:hint="eastAsia"/>
          <w:b/>
          <w:sz w:val="24"/>
        </w:rPr>
        <w:t>四、付款方式</w:t>
      </w:r>
    </w:p>
    <w:p w14:paraId="5A1E996F" w14:textId="77777777" w:rsidR="008F6EF9" w:rsidRDefault="00FA22EE">
      <w:pPr>
        <w:spacing w:line="360" w:lineRule="auto"/>
        <w:jc w:val="left"/>
        <w:rPr>
          <w:rStyle w:val="NormalCharacter"/>
          <w:rFonts w:ascii="宋体" w:eastAsia="宋体" w:hAnsi="宋体" w:cs="宋体"/>
          <w:b/>
          <w:sz w:val="32"/>
          <w:szCs w:val="32"/>
        </w:rPr>
      </w:pPr>
      <w:r>
        <w:rPr>
          <w:rFonts w:ascii="宋体" w:eastAsia="宋体" w:hAnsi="宋体" w:cs="宋体" w:hint="eastAsia"/>
          <w:kern w:val="0"/>
          <w:sz w:val="24"/>
        </w:rPr>
        <w:t xml:space="preserve"> 合同签订后</w:t>
      </w:r>
      <w:bookmarkStart w:id="14" w:name="OLE_LINK2"/>
      <w:r>
        <w:rPr>
          <w:rFonts w:ascii="宋体" w:eastAsia="宋体" w:hAnsi="宋体" w:cs="宋体" w:hint="eastAsia"/>
          <w:kern w:val="0"/>
          <w:sz w:val="24"/>
        </w:rPr>
        <w:t>支付合同款</w:t>
      </w:r>
      <w:bookmarkEnd w:id="14"/>
      <w:r>
        <w:rPr>
          <w:rFonts w:ascii="宋体" w:eastAsia="宋体" w:hAnsi="宋体" w:cs="宋体" w:hint="eastAsia"/>
          <w:kern w:val="0"/>
          <w:sz w:val="24"/>
        </w:rPr>
        <w:t>50%，服务期满6个月，中期考核合格后支付合同款40%，合同期满，验收合格后，支付尾款</w:t>
      </w:r>
      <w:r>
        <w:rPr>
          <w:rFonts w:ascii="宋体" w:eastAsia="宋体" w:hAnsi="宋体" w:cs="宋体" w:hint="eastAsia"/>
          <w:kern w:val="0"/>
          <w:sz w:val="24"/>
          <w:lang w:val="zh-CN"/>
        </w:rPr>
        <w:t>。</w:t>
      </w:r>
    </w:p>
    <w:sectPr w:rsidR="008F6E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ABBFD" w14:textId="77777777" w:rsidR="00F0310D" w:rsidRDefault="00F0310D" w:rsidP="001620AE">
      <w:r>
        <w:separator/>
      </w:r>
    </w:p>
  </w:endnote>
  <w:endnote w:type="continuationSeparator" w:id="0">
    <w:p w14:paraId="0EA815EA" w14:textId="77777777" w:rsidR="00F0310D" w:rsidRDefault="00F0310D" w:rsidP="0016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E2AAD" w14:textId="77777777" w:rsidR="00F0310D" w:rsidRDefault="00F0310D" w:rsidP="001620AE">
      <w:r>
        <w:separator/>
      </w:r>
    </w:p>
  </w:footnote>
  <w:footnote w:type="continuationSeparator" w:id="0">
    <w:p w14:paraId="667FD566" w14:textId="77777777" w:rsidR="00F0310D" w:rsidRDefault="00F0310D" w:rsidP="00162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B044D"/>
    <w:rsid w:val="001620AE"/>
    <w:rsid w:val="007779C7"/>
    <w:rsid w:val="007A352D"/>
    <w:rsid w:val="008F6EF9"/>
    <w:rsid w:val="00F0310D"/>
    <w:rsid w:val="00FA22EE"/>
    <w:rsid w:val="463B0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1F86C"/>
  <w15:docId w15:val="{3EFFDE40-7338-4373-BAE0-3F1161C4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paragraph" w:styleId="a4">
    <w:name w:val="List Paragraph"/>
    <w:basedOn w:val="a"/>
    <w:uiPriority w:val="34"/>
    <w:qFormat/>
    <w:pPr>
      <w:ind w:firstLineChars="200" w:firstLine="420"/>
    </w:pPr>
    <w:rPr>
      <w:szCs w:val="22"/>
    </w:rPr>
  </w:style>
  <w:style w:type="paragraph" w:styleId="a5">
    <w:name w:val="header"/>
    <w:basedOn w:val="a"/>
    <w:link w:val="a6"/>
    <w:rsid w:val="001620A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620AE"/>
    <w:rPr>
      <w:kern w:val="2"/>
      <w:sz w:val="18"/>
      <w:szCs w:val="18"/>
    </w:rPr>
  </w:style>
  <w:style w:type="paragraph" w:styleId="a7">
    <w:name w:val="footer"/>
    <w:basedOn w:val="a"/>
    <w:link w:val="a8"/>
    <w:rsid w:val="001620AE"/>
    <w:pPr>
      <w:tabs>
        <w:tab w:val="center" w:pos="4153"/>
        <w:tab w:val="right" w:pos="8306"/>
      </w:tabs>
      <w:snapToGrid w:val="0"/>
      <w:jc w:val="left"/>
    </w:pPr>
    <w:rPr>
      <w:sz w:val="18"/>
      <w:szCs w:val="18"/>
    </w:rPr>
  </w:style>
  <w:style w:type="character" w:customStyle="1" w:styleId="a8">
    <w:name w:val="页脚 字符"/>
    <w:basedOn w:val="a0"/>
    <w:link w:val="a7"/>
    <w:rsid w:val="001620A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c:creator>
  <cp:lastModifiedBy>市域治理B404</cp:lastModifiedBy>
  <cp:revision>5</cp:revision>
  <dcterms:created xsi:type="dcterms:W3CDTF">2026-04-07T03:13:00Z</dcterms:created>
  <dcterms:modified xsi:type="dcterms:W3CDTF">2026-04-08T06:24:00Z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9E75512D1367479AA2583AFA65711AFC_11</vt:lpwstr>
  </property>
  <property fmtid="{D5CDD505-2E9C-101B-9397-08002B2CF9AE}" pid="4" name="KSOTemplateDocerSaveRecord">
    <vt:lpwstr>eyJoZGlkIjoiNzc3NGZiODMwZWIxNGQ1ZGM3NzU3NzM0MzJmZjJlOWYiLCJ1c2VySWQiOiIxMjY5NzgzNzg4In0=</vt:lpwstr>
  </property>
</Properties>
</file>